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1D2606" w14:textId="77777777" w:rsidR="005166B9" w:rsidRDefault="005166B9">
      <w:pPr>
        <w:rPr>
          <w:rFonts w:ascii="Arial" w:eastAsia="Arial" w:hAnsi="Arial" w:cs="Arial"/>
          <w:b/>
          <w:sz w:val="36"/>
          <w:szCs w:val="36"/>
        </w:rPr>
      </w:pPr>
    </w:p>
    <w:p w14:paraId="44488B2C" w14:textId="77777777" w:rsidR="005166B9" w:rsidRDefault="00FD4693">
      <w:pPr>
        <w:rPr>
          <w:rFonts w:ascii="Arial" w:eastAsia="Arial" w:hAnsi="Arial" w:cs="Arial"/>
          <w:b/>
          <w:sz w:val="36"/>
          <w:szCs w:val="36"/>
        </w:rPr>
      </w:pPr>
      <w:r>
        <w:rPr>
          <w:rFonts w:ascii="Arial" w:eastAsia="Arial" w:hAnsi="Arial" w:cs="Arial"/>
          <w:b/>
          <w:sz w:val="36"/>
          <w:szCs w:val="36"/>
        </w:rPr>
        <w:t>Joint Schedule 1 (Definitions)</w:t>
      </w:r>
    </w:p>
    <w:p w14:paraId="2E0FEC67" w14:textId="77777777" w:rsidR="005166B9" w:rsidRDefault="00FD4693">
      <w:pPr>
        <w:numPr>
          <w:ilvl w:val="1"/>
          <w:numId w:val="9"/>
        </w:numPr>
        <w:pBdr>
          <w:top w:val="nil"/>
          <w:left w:val="nil"/>
          <w:bottom w:val="nil"/>
          <w:right w:val="nil"/>
          <w:between w:val="nil"/>
        </w:pBdr>
        <w:tabs>
          <w:tab w:val="left" w:pos="1134"/>
          <w:tab w:val="left" w:pos="567"/>
        </w:tabs>
        <w:spacing w:before="120" w:after="120" w:line="240" w:lineRule="auto"/>
        <w:ind w:left="567" w:hanging="567"/>
        <w:jc w:val="both"/>
        <w:rPr>
          <w:rFonts w:ascii="Arial" w:eastAsia="Arial" w:hAnsi="Arial" w:cs="Arial"/>
          <w:color w:val="000000"/>
          <w:sz w:val="24"/>
          <w:szCs w:val="24"/>
        </w:rPr>
      </w:pPr>
      <w:r>
        <w:rPr>
          <w:rFonts w:ascii="Arial" w:eastAsia="Arial" w:hAnsi="Arial" w:cs="Arial"/>
          <w:color w:val="000000"/>
          <w:sz w:val="24"/>
          <w:szCs w:val="24"/>
        </w:rPr>
        <w:t xml:space="preserve">In </w:t>
      </w:r>
      <w:bookmarkStart w:id="0" w:name="bookmark=id.gjdgxs" w:colFirst="0" w:colLast="0"/>
      <w:bookmarkEnd w:id="0"/>
      <w:r>
        <w:rPr>
          <w:rFonts w:ascii="Arial" w:eastAsia="Arial" w:hAnsi="Arial" w:cs="Arial"/>
          <w:color w:val="000000"/>
          <w:sz w:val="24"/>
          <w:szCs w:val="24"/>
        </w:rPr>
        <w:t>each Contract, unless the context otherwise requires, capitalised expressions shall have the meanings set out in this Joint Schedule 1 (Definitions) or the relevant Schedule in which that capitalised expression appears.</w:t>
      </w:r>
    </w:p>
    <w:p w14:paraId="33ED07F5" w14:textId="77777777" w:rsidR="005166B9" w:rsidRDefault="00FD4693">
      <w:pPr>
        <w:numPr>
          <w:ilvl w:val="1"/>
          <w:numId w:val="9"/>
        </w:numPr>
        <w:pBdr>
          <w:top w:val="nil"/>
          <w:left w:val="nil"/>
          <w:bottom w:val="nil"/>
          <w:right w:val="nil"/>
          <w:between w:val="nil"/>
        </w:pBdr>
        <w:tabs>
          <w:tab w:val="left" w:pos="1134"/>
          <w:tab w:val="left" w:pos="567"/>
        </w:tabs>
        <w:spacing w:before="120" w:after="120" w:line="240" w:lineRule="auto"/>
        <w:ind w:left="567" w:hanging="567"/>
        <w:jc w:val="both"/>
        <w:rPr>
          <w:rFonts w:ascii="Arial" w:eastAsia="Arial" w:hAnsi="Arial" w:cs="Arial"/>
          <w:color w:val="000000"/>
          <w:sz w:val="24"/>
          <w:szCs w:val="24"/>
        </w:rPr>
      </w:pPr>
      <w:bookmarkStart w:id="1" w:name="_heading=h.30j0zll" w:colFirst="0" w:colLast="0"/>
      <w:bookmarkEnd w:id="1"/>
      <w:r>
        <w:rPr>
          <w:rFonts w:ascii="Arial" w:eastAsia="Arial" w:hAnsi="Arial" w:cs="Arial"/>
          <w:color w:val="000000"/>
          <w:sz w:val="24"/>
          <w:szCs w:val="24"/>
        </w:rPr>
        <w:t>If a capitalised expression does not have an interpretation in this Schedule or any other Schedule, it shall, in the first instance, be interpreted in accordance with the common interpretation within the relevant market sector/industry where appropriate. Otherwise, it shall be interpreted in accordance with the dictionary meaning.</w:t>
      </w:r>
    </w:p>
    <w:p w14:paraId="275701FF" w14:textId="77777777" w:rsidR="005166B9" w:rsidRDefault="00FD4693">
      <w:pPr>
        <w:numPr>
          <w:ilvl w:val="1"/>
          <w:numId w:val="9"/>
        </w:numPr>
        <w:pBdr>
          <w:top w:val="nil"/>
          <w:left w:val="nil"/>
          <w:bottom w:val="nil"/>
          <w:right w:val="nil"/>
          <w:between w:val="nil"/>
        </w:pBdr>
        <w:tabs>
          <w:tab w:val="left" w:pos="1134"/>
          <w:tab w:val="left" w:pos="567"/>
        </w:tabs>
        <w:spacing w:before="120" w:after="120" w:line="240" w:lineRule="auto"/>
        <w:ind w:left="567" w:hanging="567"/>
        <w:jc w:val="both"/>
        <w:rPr>
          <w:rFonts w:ascii="Arial" w:eastAsia="Arial" w:hAnsi="Arial" w:cs="Arial"/>
          <w:color w:val="000000"/>
          <w:sz w:val="24"/>
          <w:szCs w:val="24"/>
        </w:rPr>
      </w:pPr>
      <w:r>
        <w:rPr>
          <w:rFonts w:ascii="Arial" w:eastAsia="Arial" w:hAnsi="Arial" w:cs="Arial"/>
          <w:color w:val="000000"/>
          <w:sz w:val="24"/>
          <w:szCs w:val="24"/>
        </w:rPr>
        <w:t>In each Contract, unless the context otherwise requires:</w:t>
      </w:r>
    </w:p>
    <w:p w14:paraId="4FF44BC2" w14:textId="77777777" w:rsidR="005166B9" w:rsidRDefault="00FD4693">
      <w:pPr>
        <w:numPr>
          <w:ilvl w:val="2"/>
          <w:numId w:val="9"/>
        </w:numPr>
        <w:pBdr>
          <w:top w:val="nil"/>
          <w:left w:val="nil"/>
          <w:bottom w:val="nil"/>
          <w:right w:val="nil"/>
          <w:between w:val="nil"/>
        </w:pBdr>
        <w:tabs>
          <w:tab w:val="left" w:pos="1985"/>
          <w:tab w:val="left" w:pos="2127"/>
        </w:tabs>
        <w:spacing w:before="120" w:after="120" w:line="240" w:lineRule="auto"/>
        <w:ind w:left="1276" w:hanging="709"/>
        <w:jc w:val="both"/>
        <w:rPr>
          <w:rFonts w:ascii="Arial" w:eastAsia="Arial" w:hAnsi="Arial" w:cs="Arial"/>
          <w:color w:val="000000"/>
          <w:sz w:val="24"/>
          <w:szCs w:val="24"/>
        </w:rPr>
      </w:pPr>
      <w:r>
        <w:rPr>
          <w:rFonts w:ascii="Arial" w:eastAsia="Arial" w:hAnsi="Arial" w:cs="Arial"/>
          <w:color w:val="000000"/>
          <w:sz w:val="24"/>
          <w:szCs w:val="24"/>
        </w:rPr>
        <w:t>the singular includes the plural and vice versa;</w:t>
      </w:r>
    </w:p>
    <w:p w14:paraId="6A0B2D30" w14:textId="77777777" w:rsidR="005166B9" w:rsidRDefault="00FD4693">
      <w:pPr>
        <w:numPr>
          <w:ilvl w:val="2"/>
          <w:numId w:val="9"/>
        </w:numPr>
        <w:pBdr>
          <w:top w:val="nil"/>
          <w:left w:val="nil"/>
          <w:bottom w:val="nil"/>
          <w:right w:val="nil"/>
          <w:between w:val="nil"/>
        </w:pBdr>
        <w:tabs>
          <w:tab w:val="left" w:pos="1985"/>
          <w:tab w:val="left" w:pos="2127"/>
        </w:tabs>
        <w:spacing w:before="120" w:after="120" w:line="240" w:lineRule="auto"/>
        <w:ind w:left="1276" w:hanging="709"/>
        <w:jc w:val="both"/>
        <w:rPr>
          <w:rFonts w:ascii="Arial" w:eastAsia="Arial" w:hAnsi="Arial" w:cs="Arial"/>
          <w:color w:val="000000"/>
          <w:sz w:val="24"/>
          <w:szCs w:val="24"/>
        </w:rPr>
      </w:pPr>
      <w:r>
        <w:rPr>
          <w:rFonts w:ascii="Arial" w:eastAsia="Arial" w:hAnsi="Arial" w:cs="Arial"/>
          <w:color w:val="000000"/>
          <w:sz w:val="24"/>
          <w:szCs w:val="24"/>
        </w:rPr>
        <w:t>reference to a gender includes the other gender and the neuter;</w:t>
      </w:r>
    </w:p>
    <w:p w14:paraId="49D170DD" w14:textId="77777777" w:rsidR="005166B9" w:rsidRDefault="00FD4693">
      <w:pPr>
        <w:numPr>
          <w:ilvl w:val="2"/>
          <w:numId w:val="9"/>
        </w:numPr>
        <w:pBdr>
          <w:top w:val="nil"/>
          <w:left w:val="nil"/>
          <w:bottom w:val="nil"/>
          <w:right w:val="nil"/>
          <w:between w:val="nil"/>
        </w:pBdr>
        <w:tabs>
          <w:tab w:val="left" w:pos="1985"/>
          <w:tab w:val="left" w:pos="2127"/>
        </w:tabs>
        <w:spacing w:before="120" w:after="120" w:line="240" w:lineRule="auto"/>
        <w:ind w:left="1276" w:hanging="709"/>
        <w:jc w:val="both"/>
        <w:rPr>
          <w:rFonts w:ascii="Arial" w:eastAsia="Arial" w:hAnsi="Arial" w:cs="Arial"/>
          <w:color w:val="000000"/>
          <w:sz w:val="24"/>
          <w:szCs w:val="24"/>
        </w:rPr>
      </w:pPr>
      <w:r>
        <w:rPr>
          <w:rFonts w:ascii="Arial" w:eastAsia="Arial" w:hAnsi="Arial" w:cs="Arial"/>
          <w:color w:val="000000"/>
          <w:sz w:val="24"/>
          <w:szCs w:val="24"/>
        </w:rPr>
        <w:t>references to a person include an individual, company, body corporate, corporation, unincorporated association, firm, partnership or other legal entity or Central Government Body;</w:t>
      </w:r>
    </w:p>
    <w:p w14:paraId="02E3B3BE" w14:textId="77777777" w:rsidR="005166B9" w:rsidRDefault="00FD4693">
      <w:pPr>
        <w:numPr>
          <w:ilvl w:val="2"/>
          <w:numId w:val="9"/>
        </w:numPr>
        <w:pBdr>
          <w:top w:val="nil"/>
          <w:left w:val="nil"/>
          <w:bottom w:val="nil"/>
          <w:right w:val="nil"/>
          <w:between w:val="nil"/>
        </w:pBdr>
        <w:tabs>
          <w:tab w:val="left" w:pos="1985"/>
          <w:tab w:val="left" w:pos="2127"/>
        </w:tabs>
        <w:spacing w:before="120" w:after="120" w:line="240" w:lineRule="auto"/>
        <w:ind w:left="1276" w:hanging="709"/>
        <w:jc w:val="both"/>
        <w:rPr>
          <w:rFonts w:ascii="Arial" w:eastAsia="Arial" w:hAnsi="Arial" w:cs="Arial"/>
          <w:color w:val="000000"/>
          <w:sz w:val="24"/>
          <w:szCs w:val="24"/>
        </w:rPr>
      </w:pPr>
      <w:r>
        <w:rPr>
          <w:rFonts w:ascii="Arial" w:eastAsia="Arial" w:hAnsi="Arial" w:cs="Arial"/>
          <w:color w:val="000000"/>
          <w:sz w:val="24"/>
          <w:szCs w:val="24"/>
        </w:rPr>
        <w:t>a reference to any Law includes a reference to that Law as amended, extended, consolidated or re-enacted from time to time;</w:t>
      </w:r>
    </w:p>
    <w:p w14:paraId="74733140" w14:textId="77777777" w:rsidR="005166B9" w:rsidRDefault="00FD4693">
      <w:pPr>
        <w:numPr>
          <w:ilvl w:val="2"/>
          <w:numId w:val="9"/>
        </w:numPr>
        <w:pBdr>
          <w:top w:val="nil"/>
          <w:left w:val="nil"/>
          <w:bottom w:val="nil"/>
          <w:right w:val="nil"/>
          <w:between w:val="nil"/>
        </w:pBdr>
        <w:tabs>
          <w:tab w:val="left" w:pos="1985"/>
          <w:tab w:val="left" w:pos="2127"/>
        </w:tabs>
        <w:spacing w:before="120" w:after="120" w:line="240" w:lineRule="auto"/>
        <w:ind w:left="1276" w:hanging="709"/>
        <w:jc w:val="both"/>
        <w:rPr>
          <w:rFonts w:ascii="Arial" w:eastAsia="Arial" w:hAnsi="Arial" w:cs="Arial"/>
          <w:color w:val="000000"/>
          <w:sz w:val="24"/>
          <w:szCs w:val="24"/>
        </w:rPr>
      </w:pPr>
      <w:r>
        <w:rPr>
          <w:rFonts w:ascii="Arial" w:eastAsia="Arial" w:hAnsi="Arial" w:cs="Arial"/>
          <w:color w:val="000000"/>
          <w:sz w:val="24"/>
          <w:szCs w:val="24"/>
        </w:rPr>
        <w:t>the words "</w:t>
      </w:r>
      <w:r>
        <w:rPr>
          <w:rFonts w:ascii="Arial" w:eastAsia="Arial" w:hAnsi="Arial" w:cs="Arial"/>
          <w:b/>
          <w:color w:val="000000"/>
          <w:sz w:val="24"/>
          <w:szCs w:val="24"/>
        </w:rPr>
        <w:t>including</w:t>
      </w:r>
      <w:r>
        <w:rPr>
          <w:rFonts w:ascii="Arial" w:eastAsia="Arial" w:hAnsi="Arial" w:cs="Arial"/>
          <w:color w:val="000000"/>
          <w:sz w:val="24"/>
          <w:szCs w:val="24"/>
        </w:rPr>
        <w:t>", "</w:t>
      </w:r>
      <w:r>
        <w:rPr>
          <w:rFonts w:ascii="Arial" w:eastAsia="Arial" w:hAnsi="Arial" w:cs="Arial"/>
          <w:b/>
          <w:color w:val="000000"/>
          <w:sz w:val="24"/>
          <w:szCs w:val="24"/>
        </w:rPr>
        <w:t>other</w:t>
      </w:r>
      <w:r>
        <w:rPr>
          <w:rFonts w:ascii="Arial" w:eastAsia="Arial" w:hAnsi="Arial" w:cs="Arial"/>
          <w:color w:val="000000"/>
          <w:sz w:val="24"/>
          <w:szCs w:val="24"/>
        </w:rPr>
        <w:t>", "</w:t>
      </w:r>
      <w:r>
        <w:rPr>
          <w:rFonts w:ascii="Arial" w:eastAsia="Arial" w:hAnsi="Arial" w:cs="Arial"/>
          <w:b/>
          <w:color w:val="000000"/>
          <w:sz w:val="24"/>
          <w:szCs w:val="24"/>
        </w:rPr>
        <w:t>in particular</w:t>
      </w:r>
      <w:r>
        <w:rPr>
          <w:rFonts w:ascii="Arial" w:eastAsia="Arial" w:hAnsi="Arial" w:cs="Arial"/>
          <w:color w:val="000000"/>
          <w:sz w:val="24"/>
          <w:szCs w:val="24"/>
        </w:rPr>
        <w:t>", "</w:t>
      </w:r>
      <w:r>
        <w:rPr>
          <w:rFonts w:ascii="Arial" w:eastAsia="Arial" w:hAnsi="Arial" w:cs="Arial"/>
          <w:b/>
          <w:color w:val="000000"/>
          <w:sz w:val="24"/>
          <w:szCs w:val="24"/>
        </w:rPr>
        <w:t>for example</w:t>
      </w:r>
      <w:r>
        <w:rPr>
          <w:rFonts w:ascii="Arial" w:eastAsia="Arial" w:hAnsi="Arial" w:cs="Arial"/>
          <w:color w:val="000000"/>
          <w:sz w:val="24"/>
          <w:szCs w:val="24"/>
        </w:rPr>
        <w:t>" and similar words shall not limit the generality of the preceding words and shall be construed as if they were immediately followed by the words "</w:t>
      </w:r>
      <w:r>
        <w:rPr>
          <w:rFonts w:ascii="Arial" w:eastAsia="Arial" w:hAnsi="Arial" w:cs="Arial"/>
          <w:b/>
          <w:color w:val="000000"/>
          <w:sz w:val="24"/>
          <w:szCs w:val="24"/>
        </w:rPr>
        <w:t>without limitation</w:t>
      </w:r>
      <w:r>
        <w:rPr>
          <w:rFonts w:ascii="Arial" w:eastAsia="Arial" w:hAnsi="Arial" w:cs="Arial"/>
          <w:color w:val="000000"/>
          <w:sz w:val="24"/>
          <w:szCs w:val="24"/>
        </w:rPr>
        <w:t>";</w:t>
      </w:r>
    </w:p>
    <w:p w14:paraId="02354B0F" w14:textId="77777777" w:rsidR="005166B9" w:rsidRDefault="00FD4693">
      <w:pPr>
        <w:numPr>
          <w:ilvl w:val="2"/>
          <w:numId w:val="9"/>
        </w:numPr>
        <w:pBdr>
          <w:top w:val="nil"/>
          <w:left w:val="nil"/>
          <w:bottom w:val="nil"/>
          <w:right w:val="nil"/>
          <w:between w:val="nil"/>
        </w:pBdr>
        <w:tabs>
          <w:tab w:val="left" w:pos="1985"/>
          <w:tab w:val="left" w:pos="2127"/>
        </w:tabs>
        <w:spacing w:before="120" w:after="120" w:line="240" w:lineRule="auto"/>
        <w:ind w:left="1276" w:hanging="709"/>
        <w:jc w:val="both"/>
        <w:rPr>
          <w:rFonts w:ascii="Arial" w:eastAsia="Arial" w:hAnsi="Arial" w:cs="Arial"/>
          <w:color w:val="000000"/>
          <w:sz w:val="24"/>
          <w:szCs w:val="24"/>
        </w:rPr>
      </w:pPr>
      <w:r>
        <w:rPr>
          <w:rFonts w:ascii="Arial" w:eastAsia="Arial" w:hAnsi="Arial" w:cs="Arial"/>
          <w:color w:val="000000"/>
          <w:sz w:val="24"/>
          <w:szCs w:val="24"/>
        </w:rPr>
        <w:t>references to "</w:t>
      </w:r>
      <w:r>
        <w:rPr>
          <w:rFonts w:ascii="Arial" w:eastAsia="Arial" w:hAnsi="Arial" w:cs="Arial"/>
          <w:b/>
          <w:color w:val="000000"/>
          <w:sz w:val="24"/>
          <w:szCs w:val="24"/>
        </w:rPr>
        <w:t>writing</w:t>
      </w:r>
      <w:r>
        <w:rPr>
          <w:rFonts w:ascii="Arial" w:eastAsia="Arial" w:hAnsi="Arial" w:cs="Arial"/>
          <w:color w:val="000000"/>
          <w:sz w:val="24"/>
          <w:szCs w:val="24"/>
        </w:rPr>
        <w:t>" include typing, printing, lithography, photography, display on a screen, electronic and facsimile transmission and other modes of representing or reproducing words in a visible form, and expressions referring to writing shall be construed accordingly;</w:t>
      </w:r>
    </w:p>
    <w:p w14:paraId="518D2ABB" w14:textId="77777777" w:rsidR="005166B9" w:rsidRDefault="00FD4693">
      <w:pPr>
        <w:numPr>
          <w:ilvl w:val="2"/>
          <w:numId w:val="9"/>
        </w:numPr>
        <w:pBdr>
          <w:top w:val="nil"/>
          <w:left w:val="nil"/>
          <w:bottom w:val="nil"/>
          <w:right w:val="nil"/>
          <w:between w:val="nil"/>
        </w:pBdr>
        <w:tabs>
          <w:tab w:val="left" w:pos="1985"/>
          <w:tab w:val="left" w:pos="2127"/>
        </w:tabs>
        <w:spacing w:before="120" w:after="120" w:line="240" w:lineRule="auto"/>
        <w:ind w:left="1276" w:hanging="709"/>
        <w:jc w:val="both"/>
        <w:rPr>
          <w:rFonts w:ascii="Arial" w:eastAsia="Arial" w:hAnsi="Arial" w:cs="Arial"/>
          <w:color w:val="000000"/>
          <w:sz w:val="24"/>
          <w:szCs w:val="24"/>
        </w:rPr>
      </w:pPr>
      <w:r>
        <w:rPr>
          <w:rFonts w:ascii="Arial" w:eastAsia="Arial" w:hAnsi="Arial" w:cs="Arial"/>
          <w:color w:val="000000"/>
          <w:sz w:val="24"/>
          <w:szCs w:val="24"/>
        </w:rPr>
        <w:t>references to "</w:t>
      </w:r>
      <w:r>
        <w:rPr>
          <w:rFonts w:ascii="Arial" w:eastAsia="Arial" w:hAnsi="Arial" w:cs="Arial"/>
          <w:b/>
          <w:color w:val="000000"/>
          <w:sz w:val="24"/>
          <w:szCs w:val="24"/>
        </w:rPr>
        <w:t>representations</w:t>
      </w:r>
      <w:r>
        <w:rPr>
          <w:rFonts w:ascii="Arial" w:eastAsia="Arial" w:hAnsi="Arial" w:cs="Arial"/>
          <w:color w:val="000000"/>
          <w:sz w:val="24"/>
          <w:szCs w:val="24"/>
        </w:rPr>
        <w:t>" shall be construed as references to present facts, to "</w:t>
      </w:r>
      <w:r>
        <w:rPr>
          <w:rFonts w:ascii="Arial" w:eastAsia="Arial" w:hAnsi="Arial" w:cs="Arial"/>
          <w:b/>
          <w:color w:val="000000"/>
          <w:sz w:val="24"/>
          <w:szCs w:val="24"/>
        </w:rPr>
        <w:t>warranties</w:t>
      </w:r>
      <w:r>
        <w:rPr>
          <w:rFonts w:ascii="Arial" w:eastAsia="Arial" w:hAnsi="Arial" w:cs="Arial"/>
          <w:color w:val="000000"/>
          <w:sz w:val="24"/>
          <w:szCs w:val="24"/>
        </w:rPr>
        <w:t>" as references to present and future facts and to "</w:t>
      </w:r>
      <w:r>
        <w:rPr>
          <w:rFonts w:ascii="Arial" w:eastAsia="Arial" w:hAnsi="Arial" w:cs="Arial"/>
          <w:b/>
          <w:color w:val="000000"/>
          <w:sz w:val="24"/>
          <w:szCs w:val="24"/>
        </w:rPr>
        <w:t>undertakings"</w:t>
      </w:r>
      <w:r>
        <w:rPr>
          <w:rFonts w:ascii="Arial" w:eastAsia="Arial" w:hAnsi="Arial" w:cs="Arial"/>
          <w:color w:val="000000"/>
          <w:sz w:val="24"/>
          <w:szCs w:val="24"/>
        </w:rPr>
        <w:t xml:space="preserve"> as references to obligations under the Contract; </w:t>
      </w:r>
    </w:p>
    <w:p w14:paraId="2FAD2F30" w14:textId="77777777" w:rsidR="005166B9" w:rsidRDefault="00FD4693">
      <w:pPr>
        <w:numPr>
          <w:ilvl w:val="2"/>
          <w:numId w:val="9"/>
        </w:numPr>
        <w:pBdr>
          <w:top w:val="nil"/>
          <w:left w:val="nil"/>
          <w:bottom w:val="nil"/>
          <w:right w:val="nil"/>
          <w:between w:val="nil"/>
        </w:pBdr>
        <w:tabs>
          <w:tab w:val="left" w:pos="1985"/>
          <w:tab w:val="left" w:pos="2127"/>
        </w:tabs>
        <w:spacing w:before="120" w:after="120" w:line="240" w:lineRule="auto"/>
        <w:ind w:left="1276" w:hanging="709"/>
        <w:jc w:val="both"/>
        <w:rPr>
          <w:rFonts w:ascii="Arial" w:eastAsia="Arial" w:hAnsi="Arial" w:cs="Arial"/>
          <w:color w:val="000000"/>
          <w:sz w:val="24"/>
          <w:szCs w:val="24"/>
        </w:rPr>
      </w:pPr>
      <w:r>
        <w:rPr>
          <w:rFonts w:ascii="Arial" w:eastAsia="Arial" w:hAnsi="Arial" w:cs="Arial"/>
          <w:color w:val="000000"/>
          <w:sz w:val="24"/>
          <w:szCs w:val="24"/>
        </w:rPr>
        <w:t xml:space="preserve">references to </w:t>
      </w:r>
      <w:r>
        <w:rPr>
          <w:rFonts w:ascii="Arial" w:eastAsia="Arial" w:hAnsi="Arial" w:cs="Arial"/>
          <w:b/>
          <w:color w:val="000000"/>
          <w:sz w:val="24"/>
          <w:szCs w:val="24"/>
        </w:rPr>
        <w:t xml:space="preserve">"Clauses" </w:t>
      </w:r>
      <w:r>
        <w:rPr>
          <w:rFonts w:ascii="Arial" w:eastAsia="Arial" w:hAnsi="Arial" w:cs="Arial"/>
          <w:color w:val="000000"/>
          <w:sz w:val="24"/>
          <w:szCs w:val="24"/>
        </w:rPr>
        <w:t xml:space="preserve">and </w:t>
      </w:r>
      <w:r>
        <w:rPr>
          <w:rFonts w:ascii="Arial" w:eastAsia="Arial" w:hAnsi="Arial" w:cs="Arial"/>
          <w:b/>
          <w:color w:val="000000"/>
          <w:sz w:val="24"/>
          <w:szCs w:val="24"/>
        </w:rPr>
        <w:t>"Schedules"</w:t>
      </w:r>
      <w:r>
        <w:rPr>
          <w:rFonts w:ascii="Arial" w:eastAsia="Arial" w:hAnsi="Arial" w:cs="Arial"/>
          <w:color w:val="000000"/>
          <w:sz w:val="24"/>
          <w:szCs w:val="24"/>
        </w:rPr>
        <w:t xml:space="preserve"> are, unless otherwise provided, references to the clauses and schedules of the Core Terms and references in any Schedule to parts, paragraphs, annexes and tables are, unless otherwise provided, references to the parts, paragraphs, annexes and tables of the Schedule in which these references appear; </w:t>
      </w:r>
    </w:p>
    <w:p w14:paraId="21F81A75" w14:textId="77777777" w:rsidR="005166B9" w:rsidRDefault="00FD4693">
      <w:pPr>
        <w:numPr>
          <w:ilvl w:val="2"/>
          <w:numId w:val="9"/>
        </w:numPr>
        <w:pBdr>
          <w:top w:val="nil"/>
          <w:left w:val="nil"/>
          <w:bottom w:val="nil"/>
          <w:right w:val="nil"/>
          <w:between w:val="nil"/>
        </w:pBdr>
        <w:tabs>
          <w:tab w:val="left" w:pos="1985"/>
          <w:tab w:val="left" w:pos="2127"/>
        </w:tabs>
        <w:spacing w:before="120" w:after="120" w:line="240" w:lineRule="auto"/>
        <w:ind w:left="1276" w:hanging="709"/>
        <w:jc w:val="both"/>
        <w:rPr>
          <w:rFonts w:ascii="Arial" w:eastAsia="Arial" w:hAnsi="Arial" w:cs="Arial"/>
          <w:color w:val="000000"/>
          <w:sz w:val="24"/>
          <w:szCs w:val="24"/>
        </w:rPr>
      </w:pPr>
      <w:r>
        <w:rPr>
          <w:rFonts w:ascii="Arial" w:eastAsia="Arial" w:hAnsi="Arial" w:cs="Arial"/>
          <w:color w:val="000000"/>
          <w:sz w:val="24"/>
          <w:szCs w:val="24"/>
        </w:rPr>
        <w:t xml:space="preserve">references to </w:t>
      </w:r>
      <w:r>
        <w:rPr>
          <w:rFonts w:ascii="Arial" w:eastAsia="Arial" w:hAnsi="Arial" w:cs="Arial"/>
          <w:b/>
          <w:color w:val="000000"/>
          <w:sz w:val="24"/>
          <w:szCs w:val="24"/>
        </w:rPr>
        <w:t>"Paragraphs"</w:t>
      </w:r>
      <w:r>
        <w:rPr>
          <w:rFonts w:ascii="Arial" w:eastAsia="Arial" w:hAnsi="Arial" w:cs="Arial"/>
          <w:color w:val="000000"/>
          <w:sz w:val="24"/>
          <w:szCs w:val="24"/>
        </w:rPr>
        <w:t xml:space="preserve"> are, unless otherwise provided, references to the paragraph of the appropriate Schedules unless otherwise provided; </w:t>
      </w:r>
    </w:p>
    <w:p w14:paraId="461BC20F" w14:textId="77777777" w:rsidR="005166B9" w:rsidRDefault="00FD4693">
      <w:pPr>
        <w:numPr>
          <w:ilvl w:val="2"/>
          <w:numId w:val="9"/>
        </w:numPr>
        <w:pBdr>
          <w:top w:val="nil"/>
          <w:left w:val="nil"/>
          <w:bottom w:val="nil"/>
          <w:right w:val="nil"/>
          <w:between w:val="nil"/>
        </w:pBdr>
        <w:tabs>
          <w:tab w:val="left" w:pos="1985"/>
          <w:tab w:val="left" w:pos="2127"/>
        </w:tabs>
        <w:spacing w:before="120" w:after="120" w:line="240" w:lineRule="auto"/>
        <w:ind w:left="1276" w:hanging="709"/>
        <w:jc w:val="both"/>
        <w:rPr>
          <w:rFonts w:ascii="Arial" w:eastAsia="Arial" w:hAnsi="Arial" w:cs="Arial"/>
          <w:color w:val="000000"/>
          <w:sz w:val="24"/>
          <w:szCs w:val="24"/>
        </w:rPr>
      </w:pPr>
      <w:r>
        <w:rPr>
          <w:rFonts w:ascii="Arial" w:eastAsia="Arial" w:hAnsi="Arial" w:cs="Arial"/>
          <w:color w:val="000000"/>
          <w:sz w:val="24"/>
          <w:szCs w:val="24"/>
        </w:rPr>
        <w:t>references to a series of Clauses or Paragraphs shall be inclusive of the clause number</w:t>
      </w:r>
      <w:bookmarkStart w:id="2" w:name="_GoBack"/>
      <w:bookmarkEnd w:id="2"/>
      <w:r>
        <w:rPr>
          <w:rFonts w:ascii="Arial" w:eastAsia="Arial" w:hAnsi="Arial" w:cs="Arial"/>
          <w:color w:val="000000"/>
          <w:sz w:val="24"/>
          <w:szCs w:val="24"/>
        </w:rPr>
        <w:t>s specified;</w:t>
      </w:r>
    </w:p>
    <w:p w14:paraId="31F0A533" w14:textId="77777777" w:rsidR="005166B9" w:rsidRDefault="00FD4693">
      <w:pPr>
        <w:numPr>
          <w:ilvl w:val="2"/>
          <w:numId w:val="9"/>
        </w:numPr>
        <w:pBdr>
          <w:top w:val="nil"/>
          <w:left w:val="nil"/>
          <w:bottom w:val="nil"/>
          <w:right w:val="nil"/>
          <w:between w:val="nil"/>
        </w:pBdr>
        <w:tabs>
          <w:tab w:val="left" w:pos="1985"/>
          <w:tab w:val="left" w:pos="2127"/>
        </w:tabs>
        <w:spacing w:before="120" w:after="120" w:line="240" w:lineRule="auto"/>
        <w:ind w:left="1276" w:hanging="709"/>
        <w:jc w:val="both"/>
        <w:rPr>
          <w:rFonts w:ascii="Arial" w:eastAsia="Arial" w:hAnsi="Arial" w:cs="Arial"/>
          <w:color w:val="000000"/>
          <w:sz w:val="24"/>
          <w:szCs w:val="24"/>
        </w:rPr>
      </w:pPr>
      <w:bookmarkStart w:id="3" w:name="_heading=h.1fob9te" w:colFirst="0" w:colLast="0"/>
      <w:bookmarkEnd w:id="3"/>
      <w:r>
        <w:rPr>
          <w:rFonts w:ascii="Arial" w:eastAsia="Arial" w:hAnsi="Arial" w:cs="Arial"/>
          <w:color w:val="000000"/>
          <w:sz w:val="24"/>
          <w:szCs w:val="24"/>
        </w:rPr>
        <w:t xml:space="preserve">the headings in each Contract are for ease of reference only and shall not affect the interpretation or construction of a Contract; </w:t>
      </w:r>
    </w:p>
    <w:p w14:paraId="77FE50A5" w14:textId="77777777" w:rsidR="005166B9" w:rsidRDefault="00FD4693">
      <w:pPr>
        <w:numPr>
          <w:ilvl w:val="2"/>
          <w:numId w:val="9"/>
        </w:numPr>
        <w:pBdr>
          <w:top w:val="nil"/>
          <w:left w:val="nil"/>
          <w:bottom w:val="nil"/>
          <w:right w:val="nil"/>
          <w:between w:val="nil"/>
        </w:pBdr>
        <w:tabs>
          <w:tab w:val="left" w:pos="1985"/>
          <w:tab w:val="left" w:pos="2127"/>
        </w:tabs>
        <w:spacing w:before="120" w:after="120" w:line="240" w:lineRule="auto"/>
        <w:ind w:left="1276" w:hanging="709"/>
        <w:jc w:val="both"/>
        <w:rPr>
          <w:rFonts w:ascii="Arial" w:eastAsia="Arial" w:hAnsi="Arial" w:cs="Arial"/>
          <w:color w:val="000000"/>
          <w:sz w:val="24"/>
          <w:szCs w:val="24"/>
        </w:rPr>
      </w:pPr>
      <w:r>
        <w:rPr>
          <w:rFonts w:ascii="Arial" w:eastAsia="Arial" w:hAnsi="Arial" w:cs="Arial"/>
          <w:color w:val="000000"/>
          <w:sz w:val="24"/>
          <w:szCs w:val="24"/>
        </w:rPr>
        <w:lastRenderedPageBreak/>
        <w:t>where the Buyer is a Central Government Body it shall be treated as contracting with the Crown as a whole;</w:t>
      </w:r>
    </w:p>
    <w:p w14:paraId="7268AFD7" w14:textId="77777777" w:rsidR="005166B9" w:rsidRDefault="00FD4693">
      <w:pPr>
        <w:numPr>
          <w:ilvl w:val="2"/>
          <w:numId w:val="9"/>
        </w:numPr>
        <w:pBdr>
          <w:top w:val="nil"/>
          <w:left w:val="nil"/>
          <w:bottom w:val="nil"/>
          <w:right w:val="nil"/>
          <w:between w:val="nil"/>
        </w:pBdr>
        <w:tabs>
          <w:tab w:val="left" w:pos="1985"/>
          <w:tab w:val="left" w:pos="2127"/>
        </w:tabs>
        <w:spacing w:before="120" w:after="120" w:line="240" w:lineRule="auto"/>
        <w:ind w:left="1276" w:hanging="709"/>
        <w:jc w:val="both"/>
        <w:rPr>
          <w:rFonts w:ascii="Arial" w:eastAsia="Arial" w:hAnsi="Arial" w:cs="Arial"/>
          <w:color w:val="000000"/>
          <w:sz w:val="24"/>
          <w:szCs w:val="24"/>
        </w:rPr>
      </w:pPr>
      <w:r>
        <w:rPr>
          <w:rFonts w:ascii="Arial" w:eastAsia="Arial" w:hAnsi="Arial" w:cs="Arial"/>
          <w:color w:val="000000"/>
          <w:sz w:val="24"/>
          <w:szCs w:val="24"/>
        </w:rPr>
        <w:t>any reference in a Contract which immediately before Exit Day was a reference to (as it has effect from time to time):</w:t>
      </w:r>
    </w:p>
    <w:p w14:paraId="352ECC82" w14:textId="77777777" w:rsidR="005166B9" w:rsidRDefault="00FD4693">
      <w:pPr>
        <w:numPr>
          <w:ilvl w:val="3"/>
          <w:numId w:val="9"/>
        </w:numPr>
        <w:pBdr>
          <w:top w:val="nil"/>
          <w:left w:val="nil"/>
          <w:bottom w:val="nil"/>
          <w:right w:val="nil"/>
          <w:between w:val="nil"/>
        </w:pBdr>
        <w:tabs>
          <w:tab w:val="left" w:pos="1985"/>
          <w:tab w:val="left" w:pos="2127"/>
        </w:tabs>
        <w:spacing w:before="120" w:after="120" w:line="240" w:lineRule="auto"/>
        <w:ind w:left="2694" w:hanging="709"/>
        <w:jc w:val="both"/>
        <w:rPr>
          <w:rFonts w:ascii="Arial" w:eastAsia="Arial" w:hAnsi="Arial" w:cs="Arial"/>
          <w:color w:val="000000"/>
          <w:sz w:val="24"/>
          <w:szCs w:val="24"/>
        </w:rPr>
      </w:pPr>
      <w:r>
        <w:rPr>
          <w:rFonts w:ascii="Arial" w:eastAsia="Arial" w:hAnsi="Arial" w:cs="Arial"/>
          <w:color w:val="000000"/>
          <w:sz w:val="24"/>
          <w:szCs w:val="24"/>
        </w:rPr>
        <w:t>any EU regulation, EU decision, EU tertiary legislation or provision of the EEA agreement (“</w:t>
      </w:r>
      <w:r>
        <w:rPr>
          <w:rFonts w:ascii="Arial" w:eastAsia="Arial" w:hAnsi="Arial" w:cs="Arial"/>
          <w:b/>
          <w:color w:val="000000"/>
          <w:sz w:val="24"/>
          <w:szCs w:val="24"/>
        </w:rPr>
        <w:t>EU References</w:t>
      </w:r>
      <w:r>
        <w:rPr>
          <w:rFonts w:ascii="Arial" w:eastAsia="Arial" w:hAnsi="Arial" w:cs="Arial"/>
          <w:color w:val="000000"/>
          <w:sz w:val="24"/>
          <w:szCs w:val="24"/>
        </w:rPr>
        <w:t>”) which is to form part of domestic law by application of section 3 of the European Union (Withdrawal) Act 2018 shall be read on and after Exit Day as a reference to the EU References as they form part of domestic law by virtue of section 3 of the European Union (Withdrawal) Act 2018 as modified by domestic law from time to time; and</w:t>
      </w:r>
    </w:p>
    <w:p w14:paraId="5F686560" w14:textId="77777777" w:rsidR="005166B9" w:rsidRDefault="00FD4693">
      <w:pPr>
        <w:numPr>
          <w:ilvl w:val="3"/>
          <w:numId w:val="9"/>
        </w:numPr>
        <w:pBdr>
          <w:top w:val="nil"/>
          <w:left w:val="nil"/>
          <w:bottom w:val="nil"/>
          <w:right w:val="nil"/>
          <w:between w:val="nil"/>
        </w:pBdr>
        <w:tabs>
          <w:tab w:val="left" w:pos="1985"/>
          <w:tab w:val="left" w:pos="2127"/>
        </w:tabs>
        <w:spacing w:before="120" w:after="120" w:line="240" w:lineRule="auto"/>
        <w:ind w:left="2694" w:hanging="709"/>
        <w:jc w:val="both"/>
        <w:rPr>
          <w:rFonts w:ascii="Arial" w:eastAsia="Arial" w:hAnsi="Arial" w:cs="Arial"/>
          <w:color w:val="000000"/>
          <w:sz w:val="24"/>
          <w:szCs w:val="24"/>
        </w:rPr>
      </w:pPr>
      <w:r>
        <w:rPr>
          <w:rFonts w:ascii="Arial" w:eastAsia="Arial" w:hAnsi="Arial" w:cs="Arial"/>
          <w:color w:val="000000"/>
          <w:sz w:val="24"/>
          <w:szCs w:val="24"/>
        </w:rPr>
        <w:t>any EU institution or EU authority or other such EU body shall be read on and after Exit Day as a reference to the UK institution, authority or body to which its functions were transferred; and</w:t>
      </w:r>
    </w:p>
    <w:p w14:paraId="4305FF06" w14:textId="77777777" w:rsidR="005166B9" w:rsidRDefault="00FD4693">
      <w:pPr>
        <w:numPr>
          <w:ilvl w:val="2"/>
          <w:numId w:val="9"/>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unless otherwise provided, references to “</w:t>
      </w:r>
      <w:r>
        <w:rPr>
          <w:rFonts w:ascii="Arial" w:eastAsia="Arial" w:hAnsi="Arial" w:cs="Arial"/>
          <w:b/>
          <w:color w:val="000000"/>
          <w:sz w:val="24"/>
          <w:szCs w:val="24"/>
        </w:rPr>
        <w:t>Buyer</w:t>
      </w:r>
      <w:r>
        <w:rPr>
          <w:rFonts w:ascii="Arial" w:eastAsia="Arial" w:hAnsi="Arial" w:cs="Arial"/>
          <w:color w:val="000000"/>
          <w:sz w:val="24"/>
          <w:szCs w:val="24"/>
        </w:rPr>
        <w:t>” shall be construed as including Exempt Buyers; and</w:t>
      </w:r>
    </w:p>
    <w:p w14:paraId="58155947" w14:textId="77777777" w:rsidR="005166B9" w:rsidRDefault="00FD4693">
      <w:pPr>
        <w:numPr>
          <w:ilvl w:val="2"/>
          <w:numId w:val="9"/>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unless otherwise provided, references to “</w:t>
      </w:r>
      <w:r>
        <w:rPr>
          <w:rFonts w:ascii="Arial" w:eastAsia="Arial" w:hAnsi="Arial" w:cs="Arial"/>
          <w:b/>
          <w:color w:val="000000"/>
          <w:sz w:val="24"/>
          <w:szCs w:val="24"/>
        </w:rPr>
        <w:t>Call-Off Contract</w:t>
      </w:r>
      <w:r>
        <w:rPr>
          <w:rFonts w:ascii="Arial" w:eastAsia="Arial" w:hAnsi="Arial" w:cs="Arial"/>
          <w:color w:val="000000"/>
          <w:sz w:val="24"/>
          <w:szCs w:val="24"/>
        </w:rPr>
        <w:t>” and “</w:t>
      </w:r>
      <w:r>
        <w:rPr>
          <w:rFonts w:ascii="Arial" w:eastAsia="Arial" w:hAnsi="Arial" w:cs="Arial"/>
          <w:b/>
          <w:color w:val="000000"/>
          <w:sz w:val="24"/>
          <w:szCs w:val="24"/>
        </w:rPr>
        <w:t>Contract</w:t>
      </w:r>
      <w:r>
        <w:rPr>
          <w:rFonts w:ascii="Arial" w:eastAsia="Arial" w:hAnsi="Arial" w:cs="Arial"/>
          <w:color w:val="000000"/>
          <w:sz w:val="24"/>
          <w:szCs w:val="24"/>
        </w:rPr>
        <w:t>” shall be construed as including Exempt Call-off Contracts.</w:t>
      </w:r>
    </w:p>
    <w:p w14:paraId="460ED94D" w14:textId="77777777" w:rsidR="005166B9" w:rsidRDefault="00FD4693">
      <w:pPr>
        <w:numPr>
          <w:ilvl w:val="1"/>
          <w:numId w:val="9"/>
        </w:numPr>
        <w:pBdr>
          <w:top w:val="nil"/>
          <w:left w:val="nil"/>
          <w:bottom w:val="nil"/>
          <w:right w:val="nil"/>
          <w:between w:val="nil"/>
        </w:pBdr>
        <w:tabs>
          <w:tab w:val="left" w:pos="1134"/>
          <w:tab w:val="left" w:pos="567"/>
        </w:tabs>
        <w:spacing w:before="120" w:after="120" w:line="240" w:lineRule="auto"/>
        <w:ind w:left="567" w:hanging="567"/>
        <w:jc w:val="both"/>
        <w:rPr>
          <w:rFonts w:ascii="Arial" w:eastAsia="Arial" w:hAnsi="Arial" w:cs="Arial"/>
          <w:color w:val="000000"/>
          <w:sz w:val="24"/>
          <w:szCs w:val="24"/>
        </w:rPr>
      </w:pPr>
      <w:r>
        <w:rPr>
          <w:rFonts w:ascii="Arial" w:eastAsia="Arial" w:hAnsi="Arial" w:cs="Arial"/>
          <w:color w:val="000000"/>
          <w:sz w:val="24"/>
          <w:szCs w:val="24"/>
        </w:rPr>
        <w:t>In each Contract, unless the context otherwise requires, the following words shall have the following meanings:</w:t>
      </w:r>
    </w:p>
    <w:p w14:paraId="42B33703" w14:textId="77777777" w:rsidR="005166B9" w:rsidRDefault="005166B9">
      <w:pPr>
        <w:keepNext/>
        <w:pBdr>
          <w:top w:val="nil"/>
          <w:left w:val="nil"/>
          <w:bottom w:val="nil"/>
          <w:right w:val="nil"/>
          <w:between w:val="nil"/>
        </w:pBdr>
        <w:tabs>
          <w:tab w:val="left" w:pos="1134"/>
        </w:tabs>
        <w:spacing w:before="120" w:after="120" w:line="240" w:lineRule="auto"/>
        <w:ind w:left="567" w:hanging="360"/>
        <w:jc w:val="both"/>
        <w:rPr>
          <w:rFonts w:ascii="Arial" w:eastAsia="Arial" w:hAnsi="Arial" w:cs="Arial"/>
          <w:color w:val="000000"/>
          <w:sz w:val="24"/>
          <w:szCs w:val="24"/>
        </w:rPr>
      </w:pPr>
    </w:p>
    <w:tbl>
      <w:tblPr>
        <w:tblStyle w:val="a2"/>
        <w:tblW w:w="1008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070"/>
        <w:gridCol w:w="8010"/>
      </w:tblGrid>
      <w:tr w:rsidR="005166B9" w14:paraId="6C5852DE" w14:textId="77777777">
        <w:tc>
          <w:tcPr>
            <w:tcW w:w="2070" w:type="dxa"/>
          </w:tcPr>
          <w:p w14:paraId="70525856" w14:textId="77777777" w:rsidR="005166B9" w:rsidRDefault="00FD4693">
            <w:pPr>
              <w:pBdr>
                <w:top w:val="nil"/>
                <w:left w:val="nil"/>
                <w:bottom w:val="nil"/>
                <w:right w:val="nil"/>
                <w:between w:val="nil"/>
              </w:pBdr>
              <w:spacing w:after="120"/>
              <w:ind w:left="-108"/>
              <w:rPr>
                <w:rFonts w:ascii="Arial" w:eastAsia="Arial" w:hAnsi="Arial" w:cs="Arial"/>
                <w:b/>
                <w:color w:val="000000"/>
                <w:sz w:val="24"/>
                <w:szCs w:val="24"/>
              </w:rPr>
            </w:pPr>
            <w:bookmarkStart w:id="4" w:name="_heading=h.3znysh7" w:colFirst="0" w:colLast="0"/>
            <w:bookmarkEnd w:id="4"/>
            <w:r>
              <w:rPr>
                <w:rFonts w:ascii="Arial" w:eastAsia="Arial" w:hAnsi="Arial" w:cs="Arial"/>
                <w:b/>
                <w:color w:val="000000"/>
                <w:sz w:val="24"/>
                <w:szCs w:val="24"/>
              </w:rPr>
              <w:t>"Achieve"</w:t>
            </w:r>
          </w:p>
        </w:tc>
        <w:tc>
          <w:tcPr>
            <w:tcW w:w="8010" w:type="dxa"/>
          </w:tcPr>
          <w:p w14:paraId="2213CAD0" w14:textId="77777777" w:rsidR="005166B9" w:rsidRDefault="00FD469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in respect of a Test, to successfully pass such Test without any Test Issues and in respect of a Milestone, the issue of a Satisfaction Certificate in respect of that Milestone and "</w:t>
            </w:r>
            <w:r>
              <w:rPr>
                <w:rFonts w:ascii="Arial" w:eastAsia="Arial" w:hAnsi="Arial" w:cs="Arial"/>
                <w:b/>
                <w:color w:val="000000"/>
                <w:sz w:val="24"/>
                <w:szCs w:val="24"/>
              </w:rPr>
              <w:t>Achieved</w:t>
            </w:r>
            <w:r>
              <w:rPr>
                <w:rFonts w:ascii="Arial" w:eastAsia="Arial" w:hAnsi="Arial" w:cs="Arial"/>
                <w:color w:val="000000"/>
                <w:sz w:val="24"/>
                <w:szCs w:val="24"/>
              </w:rPr>
              <w:t>", "</w:t>
            </w:r>
            <w:r>
              <w:rPr>
                <w:rFonts w:ascii="Arial" w:eastAsia="Arial" w:hAnsi="Arial" w:cs="Arial"/>
                <w:b/>
                <w:color w:val="000000"/>
                <w:sz w:val="24"/>
                <w:szCs w:val="24"/>
              </w:rPr>
              <w:t>Achieving</w:t>
            </w:r>
            <w:r>
              <w:rPr>
                <w:rFonts w:ascii="Arial" w:eastAsia="Arial" w:hAnsi="Arial" w:cs="Arial"/>
                <w:color w:val="000000"/>
                <w:sz w:val="24"/>
                <w:szCs w:val="24"/>
              </w:rPr>
              <w:t>" and "</w:t>
            </w:r>
            <w:r>
              <w:rPr>
                <w:rFonts w:ascii="Arial" w:eastAsia="Arial" w:hAnsi="Arial" w:cs="Arial"/>
                <w:b/>
                <w:color w:val="000000"/>
                <w:sz w:val="24"/>
                <w:szCs w:val="24"/>
              </w:rPr>
              <w:t>Achievement</w:t>
            </w:r>
            <w:r>
              <w:rPr>
                <w:rFonts w:ascii="Arial" w:eastAsia="Arial" w:hAnsi="Arial" w:cs="Arial"/>
                <w:color w:val="000000"/>
                <w:sz w:val="24"/>
                <w:szCs w:val="24"/>
              </w:rPr>
              <w:t>" shall be construed accordingly;</w:t>
            </w:r>
          </w:p>
        </w:tc>
      </w:tr>
      <w:tr w:rsidR="005166B9" w14:paraId="0AE6E10F" w14:textId="77777777">
        <w:tc>
          <w:tcPr>
            <w:tcW w:w="2070" w:type="dxa"/>
          </w:tcPr>
          <w:p w14:paraId="13700F87" w14:textId="77777777" w:rsidR="005166B9" w:rsidRDefault="00FD469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"Additional Insurances"</w:t>
            </w:r>
          </w:p>
        </w:tc>
        <w:tc>
          <w:tcPr>
            <w:tcW w:w="8010" w:type="dxa"/>
          </w:tcPr>
          <w:p w14:paraId="4D1071B4" w14:textId="77777777" w:rsidR="005166B9" w:rsidRDefault="00FD469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insurance requirements relating to a Call-Off Contract specified in the Order Form additional to those outlined in Joint Schedule 3 (Insurance Requirements); </w:t>
            </w:r>
          </w:p>
        </w:tc>
      </w:tr>
      <w:tr w:rsidR="005166B9" w14:paraId="24C626FC" w14:textId="77777777">
        <w:tc>
          <w:tcPr>
            <w:tcW w:w="2070" w:type="dxa"/>
          </w:tcPr>
          <w:p w14:paraId="5654A7AF" w14:textId="77777777" w:rsidR="005166B9" w:rsidRDefault="00FD469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"Admin Fee”</w:t>
            </w:r>
          </w:p>
        </w:tc>
        <w:tc>
          <w:tcPr>
            <w:tcW w:w="8010" w:type="dxa"/>
          </w:tcPr>
          <w:p w14:paraId="08B1B700" w14:textId="77777777" w:rsidR="005166B9" w:rsidRDefault="00FD469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means the costs incurred by CCS in dealing with MI Failures calculated in accordance with the tariff of administration charges published by the CCS on: http://CCS.cabinetoffice.gov.uk/i-am-supplier/management-information/admin-fees;</w:t>
            </w:r>
          </w:p>
        </w:tc>
      </w:tr>
      <w:tr w:rsidR="005166B9" w14:paraId="1F1A1FB5" w14:textId="77777777">
        <w:tc>
          <w:tcPr>
            <w:tcW w:w="2070" w:type="dxa"/>
          </w:tcPr>
          <w:p w14:paraId="60D25CEC" w14:textId="77777777" w:rsidR="005166B9" w:rsidRDefault="00FD469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"Affected Party"</w:t>
            </w:r>
          </w:p>
        </w:tc>
        <w:tc>
          <w:tcPr>
            <w:tcW w:w="8010" w:type="dxa"/>
          </w:tcPr>
          <w:p w14:paraId="0143BF9A" w14:textId="77777777" w:rsidR="005166B9" w:rsidRDefault="00FD469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Party seeking to claim relief in respect of a Force Majeure Event;</w:t>
            </w:r>
          </w:p>
        </w:tc>
      </w:tr>
      <w:tr w:rsidR="005166B9" w14:paraId="13F0DED4" w14:textId="77777777">
        <w:tc>
          <w:tcPr>
            <w:tcW w:w="2070" w:type="dxa"/>
          </w:tcPr>
          <w:p w14:paraId="483F3567" w14:textId="77777777" w:rsidR="005166B9" w:rsidRDefault="00FD469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"Affiliates"</w:t>
            </w:r>
          </w:p>
        </w:tc>
        <w:tc>
          <w:tcPr>
            <w:tcW w:w="8010" w:type="dxa"/>
          </w:tcPr>
          <w:p w14:paraId="3BF07CCF" w14:textId="77777777" w:rsidR="005166B9" w:rsidRDefault="00FD469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in relation to a body corporate, any other entity which directly or indirectly Controls, is Controlled by, or is under direct or indirect common Control of that body corporate from time to time;</w:t>
            </w:r>
          </w:p>
        </w:tc>
      </w:tr>
      <w:tr w:rsidR="005166B9" w14:paraId="092891C0" w14:textId="77777777">
        <w:tc>
          <w:tcPr>
            <w:tcW w:w="2070" w:type="dxa"/>
          </w:tcPr>
          <w:p w14:paraId="1AA12563" w14:textId="77777777" w:rsidR="005166B9" w:rsidRDefault="00FD469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“Annex”</w:t>
            </w:r>
          </w:p>
        </w:tc>
        <w:tc>
          <w:tcPr>
            <w:tcW w:w="8010" w:type="dxa"/>
          </w:tcPr>
          <w:p w14:paraId="33240D8C" w14:textId="77777777" w:rsidR="005166B9" w:rsidRDefault="00FD469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extra information which supports a Schedule;</w:t>
            </w:r>
          </w:p>
        </w:tc>
      </w:tr>
      <w:tr w:rsidR="005166B9" w14:paraId="134DC320" w14:textId="77777777">
        <w:tc>
          <w:tcPr>
            <w:tcW w:w="2070" w:type="dxa"/>
          </w:tcPr>
          <w:p w14:paraId="746C16B6" w14:textId="77777777" w:rsidR="005166B9" w:rsidRDefault="00FD469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"Approval"</w:t>
            </w:r>
          </w:p>
        </w:tc>
        <w:tc>
          <w:tcPr>
            <w:tcW w:w="8010" w:type="dxa"/>
          </w:tcPr>
          <w:p w14:paraId="71B04B83" w14:textId="77777777" w:rsidR="005166B9" w:rsidRDefault="00FD469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prior written consent of the Buyer and "</w:t>
            </w:r>
            <w:r>
              <w:rPr>
                <w:rFonts w:ascii="Arial" w:eastAsia="Arial" w:hAnsi="Arial" w:cs="Arial"/>
                <w:b/>
                <w:color w:val="000000"/>
                <w:sz w:val="24"/>
                <w:szCs w:val="24"/>
              </w:rPr>
              <w:t>Approve</w:t>
            </w:r>
            <w:r>
              <w:rPr>
                <w:rFonts w:ascii="Arial" w:eastAsia="Arial" w:hAnsi="Arial" w:cs="Arial"/>
                <w:color w:val="000000"/>
                <w:sz w:val="24"/>
                <w:szCs w:val="24"/>
              </w:rPr>
              <w:t>" and "</w:t>
            </w:r>
            <w:r>
              <w:rPr>
                <w:rFonts w:ascii="Arial" w:eastAsia="Arial" w:hAnsi="Arial" w:cs="Arial"/>
                <w:b/>
                <w:color w:val="000000"/>
                <w:sz w:val="24"/>
                <w:szCs w:val="24"/>
              </w:rPr>
              <w:t>Approved</w:t>
            </w:r>
            <w:r>
              <w:rPr>
                <w:rFonts w:ascii="Arial" w:eastAsia="Arial" w:hAnsi="Arial" w:cs="Arial"/>
                <w:color w:val="000000"/>
                <w:sz w:val="24"/>
                <w:szCs w:val="24"/>
              </w:rPr>
              <w:t>" shall be construed accordingly;</w:t>
            </w:r>
          </w:p>
        </w:tc>
      </w:tr>
      <w:tr w:rsidR="006511BA" w14:paraId="2DDC9129" w14:textId="77777777">
        <w:tc>
          <w:tcPr>
            <w:tcW w:w="2070" w:type="dxa"/>
          </w:tcPr>
          <w:p w14:paraId="294350B5" w14:textId="77777777" w:rsidR="006511BA" w:rsidRDefault="006511BA" w:rsidP="006511BA">
            <w:pPr>
              <w:pBdr>
                <w:top w:val="nil"/>
                <w:left w:val="nil"/>
                <w:bottom w:val="nil"/>
                <w:right w:val="nil"/>
                <w:between w:val="nil"/>
              </w:pBdr>
              <w:spacing w:after="120"/>
              <w:ind w:left="-108"/>
              <w:rPr>
                <w:rFonts w:ascii="Arial" w:eastAsia="Arial" w:hAnsi="Arial" w:cs="Arial"/>
                <w:b/>
                <w:color w:val="000000"/>
                <w:sz w:val="24"/>
                <w:szCs w:val="24"/>
              </w:rPr>
            </w:pPr>
            <w:r w:rsidRPr="0097484D">
              <w:rPr>
                <w:rFonts w:ascii="Arial" w:hAnsi="Arial" w:cs="Arial"/>
                <w:b/>
                <w:sz w:val="24"/>
                <w:szCs w:val="24"/>
              </w:rPr>
              <w:t>“Associates”</w:t>
            </w:r>
          </w:p>
        </w:tc>
        <w:tc>
          <w:tcPr>
            <w:tcW w:w="8010" w:type="dxa"/>
          </w:tcPr>
          <w:p w14:paraId="167BFE6E" w14:textId="77777777" w:rsidR="006511BA" w:rsidRDefault="006511BA" w:rsidP="006511BA">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sidRPr="0097484D">
              <w:rPr>
                <w:rFonts w:ascii="Arial" w:hAnsi="Arial" w:cs="Arial"/>
                <w:sz w:val="24"/>
                <w:szCs w:val="24"/>
              </w:rPr>
              <w:t xml:space="preserve">means, in relation to an entity, an undertaking in which the entity owns, directly or indirectly, between 20% and 50% of the voting rights and </w:t>
            </w:r>
            <w:r w:rsidRPr="0097484D">
              <w:rPr>
                <w:rFonts w:ascii="Arial" w:hAnsi="Arial" w:cs="Arial"/>
                <w:sz w:val="24"/>
                <w:szCs w:val="24"/>
              </w:rPr>
              <w:lastRenderedPageBreak/>
              <w:t>exercises a degree of control sufficient for the undertaking to be treated as an associate under generally accepted accounting principles;</w:t>
            </w:r>
          </w:p>
        </w:tc>
      </w:tr>
      <w:tr w:rsidR="005166B9" w14:paraId="5D9F27D0" w14:textId="77777777">
        <w:tc>
          <w:tcPr>
            <w:tcW w:w="2070" w:type="dxa"/>
          </w:tcPr>
          <w:p w14:paraId="01B9AB83" w14:textId="77777777" w:rsidR="005166B9" w:rsidRDefault="00FD469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"Audit"</w:t>
            </w:r>
          </w:p>
        </w:tc>
        <w:tc>
          <w:tcPr>
            <w:tcW w:w="8010" w:type="dxa"/>
          </w:tcPr>
          <w:p w14:paraId="4AF57D5B" w14:textId="77777777" w:rsidR="005166B9" w:rsidRDefault="00FD469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the Relevant Authority’s right to: </w:t>
            </w:r>
          </w:p>
          <w:p w14:paraId="46D6F1D0" w14:textId="77777777" w:rsidR="005166B9" w:rsidRDefault="00FD4693">
            <w:pPr>
              <w:numPr>
                <w:ilvl w:val="0"/>
                <w:numId w:val="1"/>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 xml:space="preserve">verify the accuracy of the Charges and any other amounts payable by a Buyer under a Call-Off Contract (including proposed or actual variations to them in accordance with the Contract); </w:t>
            </w:r>
          </w:p>
          <w:p w14:paraId="3F079CAB" w14:textId="77777777" w:rsidR="005166B9" w:rsidRDefault="00FD4693">
            <w:pPr>
              <w:numPr>
                <w:ilvl w:val="0"/>
                <w:numId w:val="1"/>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 xml:space="preserve">verify the costs of the Supplier (including the costs of all Subcontractors and any </w:t>
            </w:r>
            <w:proofErr w:type="gramStart"/>
            <w:r>
              <w:rPr>
                <w:rFonts w:ascii="Arial" w:eastAsia="Arial" w:hAnsi="Arial" w:cs="Arial"/>
                <w:color w:val="000000"/>
                <w:sz w:val="24"/>
                <w:szCs w:val="24"/>
              </w:rPr>
              <w:t>third party</w:t>
            </w:r>
            <w:proofErr w:type="gramEnd"/>
            <w:r>
              <w:rPr>
                <w:rFonts w:ascii="Arial" w:eastAsia="Arial" w:hAnsi="Arial" w:cs="Arial"/>
                <w:color w:val="000000"/>
                <w:sz w:val="24"/>
                <w:szCs w:val="24"/>
              </w:rPr>
              <w:t xml:space="preserve"> suppliers) in connection with the provision of the Services;</w:t>
            </w:r>
          </w:p>
          <w:p w14:paraId="22121960" w14:textId="77777777" w:rsidR="005166B9" w:rsidRDefault="00FD4693">
            <w:pPr>
              <w:numPr>
                <w:ilvl w:val="0"/>
                <w:numId w:val="1"/>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verify the Open Book Data;</w:t>
            </w:r>
          </w:p>
          <w:p w14:paraId="2B6435C4" w14:textId="77777777" w:rsidR="005166B9" w:rsidRDefault="00FD4693">
            <w:pPr>
              <w:numPr>
                <w:ilvl w:val="0"/>
                <w:numId w:val="1"/>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verify the Supplier’s and each Subcontractor’s compliance with the Contract and applicable Law;</w:t>
            </w:r>
          </w:p>
          <w:p w14:paraId="3E6F7B64" w14:textId="77777777" w:rsidR="005166B9" w:rsidRDefault="00FD4693">
            <w:pPr>
              <w:numPr>
                <w:ilvl w:val="0"/>
                <w:numId w:val="1"/>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identify or investigate actual or suspected breach of Clauses 27 to 33 and/or Joint Schedule 5 (Corporate Social Responsibility), impropriety or accounting mistakes or any breach or threatened breach of security and in these circumstances the Relevant Authority shall have no obligation to inform the Supplier of the purpose or objective of its investigations;</w:t>
            </w:r>
          </w:p>
          <w:p w14:paraId="55DD8757" w14:textId="77777777" w:rsidR="005166B9" w:rsidRDefault="00FD4693">
            <w:pPr>
              <w:numPr>
                <w:ilvl w:val="0"/>
                <w:numId w:val="1"/>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identify or investigate any circumstances which may impact upon the financial stability of the Supplier, any Guarantor, and/or any Subcontractors or their ability to provide the Deliverables;</w:t>
            </w:r>
          </w:p>
          <w:p w14:paraId="2E9DF08B" w14:textId="77777777" w:rsidR="005166B9" w:rsidRDefault="00FD4693">
            <w:pPr>
              <w:numPr>
                <w:ilvl w:val="0"/>
                <w:numId w:val="1"/>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obtain such information as is necessary to fulfil the Relevant Authority’s obligations to supply information for parliamentary, ministerial, judicial or administrative purposes including the supply of information to the Comptroller and Auditor General;</w:t>
            </w:r>
          </w:p>
          <w:p w14:paraId="7C21D976" w14:textId="77777777" w:rsidR="005166B9" w:rsidRDefault="00FD4693">
            <w:pPr>
              <w:numPr>
                <w:ilvl w:val="0"/>
                <w:numId w:val="1"/>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review any books of account and the internal contract management accounts kept by the Supplier in connection with each Contract;</w:t>
            </w:r>
          </w:p>
          <w:p w14:paraId="39A08352" w14:textId="77777777" w:rsidR="005166B9" w:rsidRDefault="00FD4693">
            <w:pPr>
              <w:numPr>
                <w:ilvl w:val="0"/>
                <w:numId w:val="1"/>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carry out the Relevant Authority’s internal and statutory audits and to prepare, examine and/or certify the Relevant Authority's annual and interim reports and accounts;</w:t>
            </w:r>
          </w:p>
          <w:p w14:paraId="5DDAB994" w14:textId="77777777" w:rsidR="005166B9" w:rsidRDefault="00FD4693">
            <w:pPr>
              <w:numPr>
                <w:ilvl w:val="0"/>
                <w:numId w:val="1"/>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enable the National Audit Office to carry out an examination pursuant to Section 6(1) of the National Audit Act 1983 of the economy, efficiency and effectiveness with which the Relevant Authority has used its resources; or</w:t>
            </w:r>
          </w:p>
          <w:p w14:paraId="2B0E45F9" w14:textId="77777777" w:rsidR="005166B9" w:rsidRDefault="00FD4693">
            <w:pPr>
              <w:numPr>
                <w:ilvl w:val="0"/>
                <w:numId w:val="1"/>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verify the accuracy and completeness of any Management Information delivered or required by the Framework Contract;</w:t>
            </w:r>
          </w:p>
        </w:tc>
      </w:tr>
      <w:tr w:rsidR="005166B9" w14:paraId="3C49CBC9" w14:textId="77777777">
        <w:tc>
          <w:tcPr>
            <w:tcW w:w="2070" w:type="dxa"/>
          </w:tcPr>
          <w:p w14:paraId="3DC745E8" w14:textId="77777777" w:rsidR="005166B9" w:rsidRDefault="00FD469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"Auditor"</w:t>
            </w:r>
          </w:p>
        </w:tc>
        <w:tc>
          <w:tcPr>
            <w:tcW w:w="8010" w:type="dxa"/>
          </w:tcPr>
          <w:p w14:paraId="20D1ABFA" w14:textId="77777777" w:rsidR="005166B9" w:rsidRDefault="00FD4693">
            <w:pPr>
              <w:numPr>
                <w:ilvl w:val="0"/>
                <w:numId w:val="11"/>
              </w:numPr>
              <w:pBdr>
                <w:top w:val="nil"/>
                <w:left w:val="nil"/>
                <w:bottom w:val="nil"/>
                <w:right w:val="nil"/>
                <w:between w:val="nil"/>
              </w:pBdr>
              <w:tabs>
                <w:tab w:val="left" w:pos="-179"/>
                <w:tab w:val="left" w:pos="-9"/>
              </w:tabs>
              <w:spacing w:after="120"/>
              <w:ind w:left="501" w:hanging="331"/>
              <w:jc w:val="both"/>
              <w:rPr>
                <w:rFonts w:ascii="Arial" w:eastAsia="Arial" w:hAnsi="Arial" w:cs="Arial"/>
                <w:color w:val="000000"/>
                <w:sz w:val="24"/>
                <w:szCs w:val="24"/>
              </w:rPr>
            </w:pPr>
            <w:r>
              <w:rPr>
                <w:rFonts w:ascii="Arial" w:eastAsia="Arial" w:hAnsi="Arial" w:cs="Arial"/>
                <w:color w:val="000000"/>
                <w:sz w:val="24"/>
                <w:szCs w:val="24"/>
              </w:rPr>
              <w:t>the Relevant Authority’s internal and external auditors;</w:t>
            </w:r>
          </w:p>
          <w:p w14:paraId="26BF4F5E" w14:textId="77777777" w:rsidR="005166B9" w:rsidRDefault="00FD4693">
            <w:pPr>
              <w:numPr>
                <w:ilvl w:val="0"/>
                <w:numId w:val="11"/>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the Relevant Authority’s statutory or regulatory auditors;</w:t>
            </w:r>
          </w:p>
          <w:p w14:paraId="14548FCF" w14:textId="77777777" w:rsidR="005166B9" w:rsidRDefault="00FD4693">
            <w:pPr>
              <w:numPr>
                <w:ilvl w:val="0"/>
                <w:numId w:val="11"/>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the Comptroller and Auditor General, their staff and/or any appointed representatives of the National Audit Office;</w:t>
            </w:r>
          </w:p>
          <w:p w14:paraId="0B1DB6B1" w14:textId="77777777" w:rsidR="005166B9" w:rsidRDefault="00FD4693">
            <w:pPr>
              <w:numPr>
                <w:ilvl w:val="0"/>
                <w:numId w:val="11"/>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HM Treasury or the Cabinet Office;</w:t>
            </w:r>
          </w:p>
          <w:p w14:paraId="0DF66A83" w14:textId="77777777" w:rsidR="005166B9" w:rsidRDefault="00FD4693">
            <w:pPr>
              <w:numPr>
                <w:ilvl w:val="0"/>
                <w:numId w:val="11"/>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lastRenderedPageBreak/>
              <w:t>any party formally appointed by the Relevant Authority to carry out audit or similar review functions; and</w:t>
            </w:r>
          </w:p>
          <w:p w14:paraId="4160DEA2" w14:textId="77777777" w:rsidR="005166B9" w:rsidRDefault="00FD4693">
            <w:pPr>
              <w:numPr>
                <w:ilvl w:val="0"/>
                <w:numId w:val="11"/>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successors or assigns of any of the above;</w:t>
            </w:r>
          </w:p>
        </w:tc>
      </w:tr>
      <w:tr w:rsidR="005166B9" w14:paraId="1700B2EC" w14:textId="77777777">
        <w:trPr>
          <w:trHeight w:val="601"/>
        </w:trPr>
        <w:tc>
          <w:tcPr>
            <w:tcW w:w="2070" w:type="dxa"/>
          </w:tcPr>
          <w:p w14:paraId="761BBD2D" w14:textId="77777777" w:rsidR="005166B9" w:rsidRDefault="00FD469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"Authority"</w:t>
            </w:r>
          </w:p>
        </w:tc>
        <w:tc>
          <w:tcPr>
            <w:tcW w:w="8010" w:type="dxa"/>
          </w:tcPr>
          <w:p w14:paraId="21355B6A" w14:textId="77777777" w:rsidR="005166B9" w:rsidRDefault="00FD4693">
            <w:pPr>
              <w:rPr>
                <w:rFonts w:ascii="Arial" w:eastAsia="Arial" w:hAnsi="Arial" w:cs="Arial"/>
                <w:sz w:val="24"/>
                <w:szCs w:val="24"/>
              </w:rPr>
            </w:pPr>
            <w:r>
              <w:rPr>
                <w:rFonts w:ascii="Arial" w:eastAsia="Arial" w:hAnsi="Arial" w:cs="Arial"/>
                <w:sz w:val="24"/>
                <w:szCs w:val="24"/>
              </w:rPr>
              <w:t xml:space="preserve">   CCS and each Buyer;</w:t>
            </w:r>
          </w:p>
        </w:tc>
      </w:tr>
      <w:tr w:rsidR="005166B9" w14:paraId="7B3B9A3C" w14:textId="77777777">
        <w:tc>
          <w:tcPr>
            <w:tcW w:w="2070" w:type="dxa"/>
          </w:tcPr>
          <w:p w14:paraId="10DCD12B" w14:textId="77777777" w:rsidR="005166B9" w:rsidRDefault="00FD4693">
            <w:pPr>
              <w:pBdr>
                <w:top w:val="nil"/>
                <w:left w:val="nil"/>
                <w:bottom w:val="nil"/>
                <w:right w:val="nil"/>
                <w:between w:val="nil"/>
              </w:pBdr>
              <w:ind w:left="-108"/>
              <w:rPr>
                <w:rFonts w:ascii="Arial" w:eastAsia="Arial" w:hAnsi="Arial" w:cs="Arial"/>
                <w:b/>
                <w:color w:val="000000"/>
                <w:sz w:val="24"/>
                <w:szCs w:val="24"/>
              </w:rPr>
            </w:pPr>
            <w:r>
              <w:rPr>
                <w:rFonts w:ascii="Arial" w:eastAsia="Arial" w:hAnsi="Arial" w:cs="Arial"/>
                <w:b/>
                <w:color w:val="000000"/>
                <w:sz w:val="24"/>
                <w:szCs w:val="24"/>
              </w:rPr>
              <w:t>"Authority Cause"</w:t>
            </w:r>
          </w:p>
        </w:tc>
        <w:tc>
          <w:tcPr>
            <w:tcW w:w="8010" w:type="dxa"/>
          </w:tcPr>
          <w:p w14:paraId="02511267" w14:textId="77777777" w:rsidR="005166B9" w:rsidRDefault="00FD469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breach of the obligations of the Relevant Authority or any other default, act, omission, negligence or statement of the Relevant Authority, of its employees, servants, agents in connection with or in relation to the subject-matter of the Contract and in respect of which the Relevant Authority is liable to the Supplier;</w:t>
            </w:r>
          </w:p>
        </w:tc>
      </w:tr>
      <w:tr w:rsidR="005166B9" w14:paraId="6861F9E1" w14:textId="77777777">
        <w:tc>
          <w:tcPr>
            <w:tcW w:w="2070" w:type="dxa"/>
          </w:tcPr>
          <w:p w14:paraId="3898DF12" w14:textId="77777777" w:rsidR="005166B9" w:rsidRDefault="00FD469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"BACS"</w:t>
            </w:r>
          </w:p>
        </w:tc>
        <w:tc>
          <w:tcPr>
            <w:tcW w:w="8010" w:type="dxa"/>
          </w:tcPr>
          <w:p w14:paraId="5BB275E7" w14:textId="77777777" w:rsidR="005166B9" w:rsidRDefault="00FD469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Bankers’ Automated Clearing Services, which is a scheme for the electronic processing of financial transactions within the United Kingdom;</w:t>
            </w:r>
          </w:p>
        </w:tc>
      </w:tr>
      <w:tr w:rsidR="005166B9" w14:paraId="3BCD5A6E" w14:textId="77777777">
        <w:tc>
          <w:tcPr>
            <w:tcW w:w="2070" w:type="dxa"/>
          </w:tcPr>
          <w:p w14:paraId="11BC1A36" w14:textId="77777777" w:rsidR="005166B9" w:rsidRDefault="00FD469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"Beneficiary"</w:t>
            </w:r>
          </w:p>
        </w:tc>
        <w:tc>
          <w:tcPr>
            <w:tcW w:w="8010" w:type="dxa"/>
          </w:tcPr>
          <w:p w14:paraId="78464B8D" w14:textId="77777777" w:rsidR="005166B9" w:rsidRDefault="00FD469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 Party having (or claiming to have) the benefit of an indemnity under this Contract;</w:t>
            </w:r>
          </w:p>
        </w:tc>
      </w:tr>
      <w:tr w:rsidR="005F6668" w14:paraId="70C99F65" w14:textId="77777777">
        <w:tc>
          <w:tcPr>
            <w:tcW w:w="2070" w:type="dxa"/>
          </w:tcPr>
          <w:p w14:paraId="501311B1" w14:textId="77777777" w:rsidR="005F6668" w:rsidRDefault="005F6668" w:rsidP="005F6668">
            <w:pPr>
              <w:pBdr>
                <w:top w:val="nil"/>
                <w:left w:val="nil"/>
                <w:bottom w:val="nil"/>
                <w:right w:val="nil"/>
                <w:between w:val="nil"/>
              </w:pBdr>
              <w:spacing w:after="120"/>
              <w:ind w:left="-108"/>
              <w:rPr>
                <w:rFonts w:ascii="Arial" w:eastAsia="Arial" w:hAnsi="Arial" w:cs="Arial"/>
                <w:b/>
                <w:color w:val="000000"/>
                <w:sz w:val="24"/>
                <w:szCs w:val="24"/>
              </w:rPr>
            </w:pPr>
            <w:r w:rsidRPr="00B97807">
              <w:rPr>
                <w:rFonts w:ascii="Arial" w:hAnsi="Arial" w:cs="Arial"/>
                <w:b/>
                <w:sz w:val="24"/>
                <w:szCs w:val="24"/>
              </w:rPr>
              <w:t>"Business Continuity Plan"</w:t>
            </w:r>
          </w:p>
        </w:tc>
        <w:tc>
          <w:tcPr>
            <w:tcW w:w="8010" w:type="dxa"/>
          </w:tcPr>
          <w:p w14:paraId="069A8414" w14:textId="77777777" w:rsidR="005F6668" w:rsidRDefault="005F6668" w:rsidP="005F6668">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sidRPr="00B97807">
              <w:rPr>
                <w:rFonts w:ascii="Arial" w:hAnsi="Arial" w:cs="Arial"/>
                <w:sz w:val="24"/>
                <w:szCs w:val="24"/>
              </w:rPr>
              <w:t>has the me</w:t>
            </w:r>
            <w:r>
              <w:rPr>
                <w:rFonts w:ascii="Arial" w:hAnsi="Arial" w:cs="Arial"/>
                <w:sz w:val="24"/>
                <w:szCs w:val="24"/>
              </w:rPr>
              <w:t>aning given to it in Paragraph 1</w:t>
            </w:r>
            <w:r w:rsidRPr="00B97807">
              <w:rPr>
                <w:rFonts w:ascii="Arial" w:hAnsi="Arial" w:cs="Arial"/>
                <w:sz w:val="24"/>
                <w:szCs w:val="24"/>
              </w:rPr>
              <w:t xml:space="preserve">.3.2 of </w:t>
            </w:r>
            <w:r>
              <w:rPr>
                <w:rFonts w:ascii="Arial" w:hAnsi="Arial" w:cs="Arial"/>
                <w:sz w:val="24"/>
                <w:szCs w:val="24"/>
              </w:rPr>
              <w:t xml:space="preserve">Call-Off </w:t>
            </w:r>
            <w:r w:rsidRPr="00B97807">
              <w:rPr>
                <w:rFonts w:ascii="Arial" w:hAnsi="Arial" w:cs="Arial"/>
                <w:sz w:val="24"/>
                <w:szCs w:val="24"/>
              </w:rPr>
              <w:t>Schedule</w:t>
            </w:r>
            <w:r>
              <w:rPr>
                <w:rFonts w:ascii="Arial" w:hAnsi="Arial" w:cs="Arial"/>
                <w:sz w:val="24"/>
                <w:szCs w:val="24"/>
              </w:rPr>
              <w:t xml:space="preserve"> 8</w:t>
            </w:r>
            <w:r w:rsidRPr="00B97807">
              <w:rPr>
                <w:rFonts w:ascii="Arial" w:hAnsi="Arial" w:cs="Arial"/>
                <w:sz w:val="24"/>
                <w:szCs w:val="24"/>
              </w:rPr>
              <w:t>;</w:t>
            </w:r>
          </w:p>
        </w:tc>
      </w:tr>
      <w:tr w:rsidR="005166B9" w14:paraId="27C53972" w14:textId="77777777">
        <w:tc>
          <w:tcPr>
            <w:tcW w:w="2070" w:type="dxa"/>
          </w:tcPr>
          <w:p w14:paraId="01F4E560" w14:textId="77777777" w:rsidR="005166B9" w:rsidRDefault="00FD469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"Buyer"</w:t>
            </w:r>
          </w:p>
        </w:tc>
        <w:tc>
          <w:tcPr>
            <w:tcW w:w="8010" w:type="dxa"/>
          </w:tcPr>
          <w:p w14:paraId="2B1034C5" w14:textId="77777777" w:rsidR="005166B9" w:rsidRDefault="00FD469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relevant public sector purchaser identified as such in the Order Form;</w:t>
            </w:r>
          </w:p>
        </w:tc>
      </w:tr>
      <w:tr w:rsidR="005166B9" w14:paraId="30341E19" w14:textId="77777777">
        <w:tc>
          <w:tcPr>
            <w:tcW w:w="2070" w:type="dxa"/>
          </w:tcPr>
          <w:p w14:paraId="543986A8" w14:textId="77777777" w:rsidR="005166B9" w:rsidRDefault="00FD4693">
            <w:pPr>
              <w:keepNext/>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"Buyer Assets"</w:t>
            </w:r>
          </w:p>
        </w:tc>
        <w:tc>
          <w:tcPr>
            <w:tcW w:w="8010" w:type="dxa"/>
          </w:tcPr>
          <w:p w14:paraId="3DEFB65F" w14:textId="77777777" w:rsidR="005166B9" w:rsidRDefault="00FD469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Buyer’s infrastructure, data, software, materials, assets, equipment or other property owned by and/or licensed or leased to the Buyer and which is or may be used in connection with the provision of the Deliverables which remain the property of the Buyer throughout the term of the Contract;</w:t>
            </w:r>
          </w:p>
        </w:tc>
      </w:tr>
      <w:tr w:rsidR="005166B9" w14:paraId="1ABD8524" w14:textId="77777777">
        <w:tc>
          <w:tcPr>
            <w:tcW w:w="2070" w:type="dxa"/>
          </w:tcPr>
          <w:p w14:paraId="5A7378C7" w14:textId="77777777" w:rsidR="005166B9" w:rsidRDefault="00FD469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"Buyer Authorised Representative"</w:t>
            </w:r>
          </w:p>
        </w:tc>
        <w:tc>
          <w:tcPr>
            <w:tcW w:w="8010" w:type="dxa"/>
          </w:tcPr>
          <w:p w14:paraId="1AED4003" w14:textId="77777777" w:rsidR="005166B9" w:rsidRDefault="00FD469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representative appointed by the Buyer from time to time in relation to the Call-Off Contract initially identified in the Order Form;</w:t>
            </w:r>
          </w:p>
        </w:tc>
      </w:tr>
      <w:tr w:rsidR="00E14062" w14:paraId="233D99DB" w14:textId="77777777">
        <w:tc>
          <w:tcPr>
            <w:tcW w:w="2070" w:type="dxa"/>
          </w:tcPr>
          <w:p w14:paraId="44E393E0" w14:textId="16728045" w:rsidR="00E14062" w:rsidRDefault="00E14062" w:rsidP="00E1406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"Buyer Existing IPR"</w:t>
            </w:r>
          </w:p>
        </w:tc>
        <w:tc>
          <w:tcPr>
            <w:tcW w:w="8010" w:type="dxa"/>
          </w:tcPr>
          <w:p w14:paraId="69ACBF8E" w14:textId="20C3D403" w:rsidR="00E14062" w:rsidRDefault="00E14062" w:rsidP="00E1406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and all IPR that are owned by or licensed to the Buyer, and where the Buyer is a Crown Body, any Crown IPR, and which are or have been developed independently of this Contract (whether prior to the Effective Date or otherwise) but excluding Buyer Software</w:t>
            </w:r>
            <w:r w:rsidR="00F576ED">
              <w:rPr>
                <w:rFonts w:ascii="Arial" w:eastAsia="Arial" w:hAnsi="Arial" w:cs="Arial"/>
                <w:color w:val="000000"/>
                <w:sz w:val="24"/>
                <w:szCs w:val="24"/>
              </w:rPr>
              <w:t xml:space="preserve"> and including data created by the Buyer’s use of Supplier Deliverables during this Contract</w:t>
            </w:r>
            <w:r>
              <w:rPr>
                <w:rFonts w:ascii="Arial" w:eastAsia="Arial" w:hAnsi="Arial" w:cs="Arial"/>
                <w:color w:val="000000"/>
                <w:sz w:val="24"/>
                <w:szCs w:val="24"/>
              </w:rPr>
              <w:t>;</w:t>
            </w:r>
          </w:p>
        </w:tc>
      </w:tr>
      <w:tr w:rsidR="005166B9" w14:paraId="6B24573C" w14:textId="77777777">
        <w:tc>
          <w:tcPr>
            <w:tcW w:w="2070" w:type="dxa"/>
          </w:tcPr>
          <w:p w14:paraId="73A96594" w14:textId="77777777" w:rsidR="005166B9" w:rsidRDefault="00FD469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"Buyer Premises"</w:t>
            </w:r>
          </w:p>
        </w:tc>
        <w:tc>
          <w:tcPr>
            <w:tcW w:w="8010" w:type="dxa"/>
          </w:tcPr>
          <w:p w14:paraId="44AAE51D" w14:textId="77777777" w:rsidR="005166B9" w:rsidRDefault="00FD469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premises owned, controlled or occupied by the Buyer which are made available for use by the Supplier or its Subcontractors for the provision of the Deliverables (or any of them);</w:t>
            </w:r>
          </w:p>
        </w:tc>
      </w:tr>
      <w:tr w:rsidR="00DF49FF" w14:paraId="394CF28E" w14:textId="77777777">
        <w:tc>
          <w:tcPr>
            <w:tcW w:w="2070" w:type="dxa"/>
          </w:tcPr>
          <w:p w14:paraId="3033D4CD" w14:textId="67F50262" w:rsidR="00DF49FF" w:rsidRDefault="00DF49FF" w:rsidP="00DF49FF">
            <w:pPr>
              <w:pBdr>
                <w:top w:val="nil"/>
                <w:left w:val="nil"/>
                <w:bottom w:val="nil"/>
                <w:right w:val="nil"/>
                <w:between w:val="nil"/>
              </w:pBdr>
              <w:spacing w:after="120"/>
              <w:ind w:left="-108"/>
              <w:rPr>
                <w:rFonts w:ascii="Arial" w:eastAsia="Arial" w:hAnsi="Arial" w:cs="Arial"/>
                <w:b/>
                <w:color w:val="000000"/>
                <w:sz w:val="24"/>
                <w:szCs w:val="24"/>
              </w:rPr>
            </w:pPr>
            <w:r w:rsidRPr="00386A55">
              <w:rPr>
                <w:rFonts w:ascii="Arial" w:eastAsia="Arial" w:hAnsi="Arial" w:cs="Arial"/>
                <w:b/>
                <w:color w:val="000000"/>
                <w:sz w:val="24"/>
                <w:szCs w:val="24"/>
              </w:rPr>
              <w:t>"Buyer Property"</w:t>
            </w:r>
          </w:p>
        </w:tc>
        <w:tc>
          <w:tcPr>
            <w:tcW w:w="8010" w:type="dxa"/>
          </w:tcPr>
          <w:p w14:paraId="4F7792F0" w14:textId="3D695E31" w:rsidR="00DF49FF" w:rsidRDefault="00DF49FF" w:rsidP="00DF49FF">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sidRPr="00386A55">
              <w:rPr>
                <w:rFonts w:ascii="Arial" w:eastAsia="Arial" w:hAnsi="Arial" w:cs="Arial"/>
                <w:color w:val="000000"/>
                <w:sz w:val="24"/>
                <w:szCs w:val="24"/>
              </w:rPr>
              <w:t>the property, other than real property and IPR, including the Buyer System, any equipment issued or made available to the Supplier by the Buyer in connection with this Contract;</w:t>
            </w:r>
          </w:p>
        </w:tc>
      </w:tr>
      <w:tr w:rsidR="005F4203" w14:paraId="59352283" w14:textId="77777777">
        <w:tc>
          <w:tcPr>
            <w:tcW w:w="2070" w:type="dxa"/>
          </w:tcPr>
          <w:p w14:paraId="56FAF1CE" w14:textId="3D78F72F" w:rsidR="005F4203" w:rsidRDefault="005F4203" w:rsidP="005F420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“Buyer Software”</w:t>
            </w:r>
          </w:p>
        </w:tc>
        <w:tc>
          <w:tcPr>
            <w:tcW w:w="8010" w:type="dxa"/>
          </w:tcPr>
          <w:p w14:paraId="741B5FBF" w14:textId="64AFA934" w:rsidR="005F4203" w:rsidRDefault="005F4203" w:rsidP="005F420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sidRPr="00386A55">
              <w:rPr>
                <w:rFonts w:ascii="Arial" w:eastAsia="Arial" w:hAnsi="Arial" w:cs="Arial"/>
                <w:color w:val="000000"/>
                <w:sz w:val="24"/>
                <w:szCs w:val="24"/>
              </w:rPr>
              <w:t>any software which is owned by or licensed to the Buyer and which is or will be used by the Supplier for the purposes of providing the Deliverables;</w:t>
            </w:r>
          </w:p>
        </w:tc>
      </w:tr>
      <w:tr w:rsidR="00DF49FF" w14:paraId="24C0035E" w14:textId="77777777">
        <w:tc>
          <w:tcPr>
            <w:tcW w:w="2070" w:type="dxa"/>
          </w:tcPr>
          <w:p w14:paraId="6D7E6054" w14:textId="7C214162" w:rsidR="00DF49FF" w:rsidRDefault="00DF49FF" w:rsidP="00DF49FF">
            <w:pPr>
              <w:pBdr>
                <w:top w:val="nil"/>
                <w:left w:val="nil"/>
                <w:bottom w:val="nil"/>
                <w:right w:val="nil"/>
                <w:between w:val="nil"/>
              </w:pBdr>
              <w:spacing w:after="120"/>
              <w:ind w:left="-108"/>
              <w:rPr>
                <w:rFonts w:ascii="Arial" w:eastAsia="Arial" w:hAnsi="Arial" w:cs="Arial"/>
                <w:b/>
                <w:color w:val="000000"/>
                <w:sz w:val="24"/>
                <w:szCs w:val="24"/>
              </w:rPr>
            </w:pPr>
            <w:r w:rsidRPr="00386A55">
              <w:rPr>
                <w:rFonts w:ascii="Arial" w:eastAsia="Arial" w:hAnsi="Arial" w:cs="Arial"/>
                <w:b/>
                <w:color w:val="000000"/>
                <w:sz w:val="24"/>
                <w:szCs w:val="24"/>
              </w:rPr>
              <w:t>"Buyer System"</w:t>
            </w:r>
          </w:p>
        </w:tc>
        <w:tc>
          <w:tcPr>
            <w:tcW w:w="8010" w:type="dxa"/>
          </w:tcPr>
          <w:p w14:paraId="24427645" w14:textId="22D63A99" w:rsidR="00DF49FF" w:rsidRDefault="00DF49FF" w:rsidP="00DF49FF">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sidRPr="00386A55">
              <w:rPr>
                <w:rFonts w:ascii="Arial" w:eastAsia="Arial" w:hAnsi="Arial" w:cs="Arial"/>
                <w:color w:val="000000"/>
                <w:sz w:val="24"/>
                <w:szCs w:val="24"/>
              </w:rPr>
              <w:t>the Buyer's computing environment (consisting of hardware, software and/or telecommunications networks or equipment) used by the Buyer or the Supplier in connection with this Contract which is owned by or licensed to the Buyer by a third party and which interfaces with the Supplier System or which is necessary for the Buyer to receive the Deliverables;</w:t>
            </w:r>
          </w:p>
        </w:tc>
      </w:tr>
      <w:tr w:rsidR="005166B9" w14:paraId="2D5B6BB4" w14:textId="77777777">
        <w:tc>
          <w:tcPr>
            <w:tcW w:w="2070" w:type="dxa"/>
          </w:tcPr>
          <w:p w14:paraId="6C33807F" w14:textId="77777777" w:rsidR="005166B9" w:rsidRDefault="00FD469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"Call-Off Contract"</w:t>
            </w:r>
          </w:p>
        </w:tc>
        <w:tc>
          <w:tcPr>
            <w:tcW w:w="8010" w:type="dxa"/>
          </w:tcPr>
          <w:p w14:paraId="0ED570F7" w14:textId="77777777" w:rsidR="005166B9" w:rsidRDefault="00FD469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contract between the Buyer and the Supplier (entered into pursuant to the provisions of the Framework Contract), which consists of the terms set out and referred to in the Order Form;</w:t>
            </w:r>
          </w:p>
        </w:tc>
      </w:tr>
      <w:tr w:rsidR="005166B9" w14:paraId="742973CC" w14:textId="77777777">
        <w:tc>
          <w:tcPr>
            <w:tcW w:w="2070" w:type="dxa"/>
          </w:tcPr>
          <w:p w14:paraId="273FA62B" w14:textId="77777777" w:rsidR="005166B9" w:rsidRDefault="00FD469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"Call-Off Contract Period"</w:t>
            </w:r>
          </w:p>
        </w:tc>
        <w:tc>
          <w:tcPr>
            <w:tcW w:w="8010" w:type="dxa"/>
          </w:tcPr>
          <w:p w14:paraId="4FD687ED" w14:textId="77777777" w:rsidR="005166B9" w:rsidRDefault="00FD469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Contract Period in respect of the Call-Off Contract;</w:t>
            </w:r>
          </w:p>
        </w:tc>
      </w:tr>
      <w:tr w:rsidR="005166B9" w14:paraId="110415A3" w14:textId="77777777">
        <w:tc>
          <w:tcPr>
            <w:tcW w:w="2070" w:type="dxa"/>
          </w:tcPr>
          <w:p w14:paraId="754C5E1B" w14:textId="77777777" w:rsidR="005166B9" w:rsidRDefault="00FD469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"Call-Off Expiry Date"</w:t>
            </w:r>
          </w:p>
        </w:tc>
        <w:tc>
          <w:tcPr>
            <w:tcW w:w="8010" w:type="dxa"/>
          </w:tcPr>
          <w:p w14:paraId="0DC31B89" w14:textId="77777777" w:rsidR="005166B9" w:rsidRDefault="00FD469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scheduled date of the end of a Call-Off Contract as stated in the Order Form;</w:t>
            </w:r>
          </w:p>
        </w:tc>
      </w:tr>
      <w:tr w:rsidR="005166B9" w14:paraId="2E7F45A7" w14:textId="77777777">
        <w:tc>
          <w:tcPr>
            <w:tcW w:w="2070" w:type="dxa"/>
          </w:tcPr>
          <w:p w14:paraId="64BED0E6" w14:textId="77777777" w:rsidR="005166B9" w:rsidRDefault="00FD469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"Call-Off Incorporated Terms"</w:t>
            </w:r>
          </w:p>
        </w:tc>
        <w:tc>
          <w:tcPr>
            <w:tcW w:w="8010" w:type="dxa"/>
          </w:tcPr>
          <w:p w14:paraId="0760FAB9" w14:textId="77777777" w:rsidR="005166B9" w:rsidRDefault="00FD469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contractual terms applicable to the Call-Off Contract specified under the relevant heading in the Order Form;</w:t>
            </w:r>
          </w:p>
        </w:tc>
      </w:tr>
      <w:tr w:rsidR="005166B9" w14:paraId="38984FE0" w14:textId="77777777">
        <w:tc>
          <w:tcPr>
            <w:tcW w:w="2070" w:type="dxa"/>
          </w:tcPr>
          <w:p w14:paraId="639FE538" w14:textId="77777777" w:rsidR="005166B9" w:rsidRDefault="00FD469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"Call-Off Initial Period"</w:t>
            </w:r>
          </w:p>
        </w:tc>
        <w:tc>
          <w:tcPr>
            <w:tcW w:w="8010" w:type="dxa"/>
          </w:tcPr>
          <w:p w14:paraId="08296F1D" w14:textId="77777777" w:rsidR="005166B9" w:rsidRDefault="00FD469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Initial Period of a Call-Off Contract specified in the Order Form;</w:t>
            </w:r>
          </w:p>
        </w:tc>
      </w:tr>
      <w:tr w:rsidR="005166B9" w14:paraId="54A325B3" w14:textId="77777777">
        <w:tc>
          <w:tcPr>
            <w:tcW w:w="2070" w:type="dxa"/>
          </w:tcPr>
          <w:p w14:paraId="463D21E3" w14:textId="77777777" w:rsidR="005166B9" w:rsidRDefault="00FD469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"Call-Off Optional Extension Period"</w:t>
            </w:r>
          </w:p>
        </w:tc>
        <w:tc>
          <w:tcPr>
            <w:tcW w:w="8010" w:type="dxa"/>
          </w:tcPr>
          <w:p w14:paraId="3249CF51" w14:textId="77777777" w:rsidR="005166B9" w:rsidRDefault="00FD469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such period or periods beyond which the Call-Off Initial Period may be extended as specified in the Order Form;</w:t>
            </w:r>
          </w:p>
        </w:tc>
      </w:tr>
      <w:tr w:rsidR="005166B9" w14:paraId="22162057" w14:textId="77777777">
        <w:tc>
          <w:tcPr>
            <w:tcW w:w="2070" w:type="dxa"/>
          </w:tcPr>
          <w:p w14:paraId="11EA249D" w14:textId="77777777" w:rsidR="005166B9" w:rsidRDefault="00FD469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"Call-Off Procedure"</w:t>
            </w:r>
          </w:p>
        </w:tc>
        <w:tc>
          <w:tcPr>
            <w:tcW w:w="8010" w:type="dxa"/>
          </w:tcPr>
          <w:p w14:paraId="5E8B53AE" w14:textId="77777777" w:rsidR="005166B9" w:rsidRDefault="00FD469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process for awarding a Call-Off Contract pursuant to Clause 2 (How the contract works) and Framework Schedule 7 (Call-Off Award Procedure);</w:t>
            </w:r>
          </w:p>
        </w:tc>
      </w:tr>
      <w:tr w:rsidR="005166B9" w14:paraId="7FE0291B" w14:textId="77777777">
        <w:tc>
          <w:tcPr>
            <w:tcW w:w="2070" w:type="dxa"/>
          </w:tcPr>
          <w:p w14:paraId="45E3732F" w14:textId="77777777" w:rsidR="005166B9" w:rsidRDefault="00FD469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"Call-Off Special Terms"</w:t>
            </w:r>
          </w:p>
        </w:tc>
        <w:tc>
          <w:tcPr>
            <w:tcW w:w="8010" w:type="dxa"/>
          </w:tcPr>
          <w:p w14:paraId="41C6BA26" w14:textId="77777777" w:rsidR="005166B9" w:rsidRDefault="00FD469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any additional terms and conditions specified in the Order Form incorporated into the applicable Call-Off Contract; </w:t>
            </w:r>
          </w:p>
        </w:tc>
      </w:tr>
      <w:tr w:rsidR="005166B9" w14:paraId="105486B8" w14:textId="77777777">
        <w:tc>
          <w:tcPr>
            <w:tcW w:w="2070" w:type="dxa"/>
          </w:tcPr>
          <w:p w14:paraId="5595E0D3" w14:textId="77777777" w:rsidR="005166B9" w:rsidRDefault="00FD469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"Call-Off Start Date"</w:t>
            </w:r>
          </w:p>
        </w:tc>
        <w:tc>
          <w:tcPr>
            <w:tcW w:w="8010" w:type="dxa"/>
          </w:tcPr>
          <w:p w14:paraId="71DEEDC5" w14:textId="77777777" w:rsidR="005166B9" w:rsidRDefault="00FD469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date of start of a Call-Off Contract as stated in the Order Form;</w:t>
            </w:r>
          </w:p>
        </w:tc>
      </w:tr>
      <w:tr w:rsidR="005166B9" w14:paraId="16198025" w14:textId="77777777">
        <w:tc>
          <w:tcPr>
            <w:tcW w:w="2070" w:type="dxa"/>
          </w:tcPr>
          <w:p w14:paraId="15C106E8" w14:textId="77777777" w:rsidR="005166B9" w:rsidRDefault="00FD469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"Call-Off Tender"</w:t>
            </w:r>
          </w:p>
        </w:tc>
        <w:tc>
          <w:tcPr>
            <w:tcW w:w="8010" w:type="dxa"/>
          </w:tcPr>
          <w:p w14:paraId="29329F64" w14:textId="77777777" w:rsidR="005166B9" w:rsidRDefault="00FD469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tender submitted by the Supplier in response to the Buyer’s Statement of Requirements following a Further Competition Procedure and set out at Call-Off Schedule 4 (Call-Off Tender);</w:t>
            </w:r>
          </w:p>
        </w:tc>
      </w:tr>
      <w:tr w:rsidR="005166B9" w14:paraId="39372DCB" w14:textId="77777777">
        <w:tc>
          <w:tcPr>
            <w:tcW w:w="2070" w:type="dxa"/>
          </w:tcPr>
          <w:p w14:paraId="6B55C37C" w14:textId="77777777" w:rsidR="005166B9" w:rsidRDefault="00FD469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"CCS"</w:t>
            </w:r>
          </w:p>
        </w:tc>
        <w:tc>
          <w:tcPr>
            <w:tcW w:w="8010" w:type="dxa"/>
          </w:tcPr>
          <w:p w14:paraId="54396727" w14:textId="77777777" w:rsidR="005166B9" w:rsidRDefault="00FD469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Minister for the Cabinet Office as represented by Crown Commercial Service, which is an executive agency and operates as a trading fund of the Cabinet Office, whose offices are located at 9th Floor, The Capital, Old Hall Street, Liverpool L3 9PP;</w:t>
            </w:r>
          </w:p>
        </w:tc>
      </w:tr>
      <w:tr w:rsidR="005166B9" w14:paraId="66568A0F" w14:textId="77777777">
        <w:tc>
          <w:tcPr>
            <w:tcW w:w="2070" w:type="dxa"/>
          </w:tcPr>
          <w:p w14:paraId="14E48A6F" w14:textId="77777777" w:rsidR="005166B9" w:rsidRDefault="00FD469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"CCS Authorised Representative"</w:t>
            </w:r>
          </w:p>
        </w:tc>
        <w:tc>
          <w:tcPr>
            <w:tcW w:w="8010" w:type="dxa"/>
          </w:tcPr>
          <w:p w14:paraId="1E9F74F4" w14:textId="77777777" w:rsidR="005166B9" w:rsidRDefault="00FD469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representative appointed by CCS from time to time in relation to the Framework Contract initially identified in the Framework Award Form;</w:t>
            </w:r>
          </w:p>
        </w:tc>
      </w:tr>
      <w:tr w:rsidR="005166B9" w14:paraId="18E4F809" w14:textId="77777777">
        <w:tc>
          <w:tcPr>
            <w:tcW w:w="2070" w:type="dxa"/>
          </w:tcPr>
          <w:p w14:paraId="20FB3DFD" w14:textId="77777777" w:rsidR="005166B9" w:rsidRDefault="00FD4693">
            <w:pPr>
              <w:keepNext/>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"Central Government Body"</w:t>
            </w:r>
          </w:p>
        </w:tc>
        <w:tc>
          <w:tcPr>
            <w:tcW w:w="8010" w:type="dxa"/>
          </w:tcPr>
          <w:p w14:paraId="6185D2E6" w14:textId="77777777" w:rsidR="005166B9" w:rsidRDefault="00FD469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 body listed in one of the following sub-categories of the Central Government classification of the Public Sector Classification Guide, as published and amended from time to time by the Office for National Statistics:</w:t>
            </w:r>
          </w:p>
          <w:p w14:paraId="65F8A00A" w14:textId="77777777" w:rsidR="005166B9" w:rsidRDefault="00FD4693">
            <w:pPr>
              <w:numPr>
                <w:ilvl w:val="1"/>
                <w:numId w:val="3"/>
              </w:numPr>
              <w:pBdr>
                <w:top w:val="nil"/>
                <w:left w:val="nil"/>
                <w:bottom w:val="nil"/>
                <w:right w:val="nil"/>
                <w:between w:val="nil"/>
              </w:pBdr>
              <w:tabs>
                <w:tab w:val="left" w:pos="-576"/>
                <w:tab w:val="left" w:pos="144"/>
              </w:tabs>
              <w:spacing w:after="120"/>
              <w:ind w:left="689" w:hanging="545"/>
              <w:jc w:val="both"/>
              <w:rPr>
                <w:rFonts w:ascii="Arial" w:eastAsia="Arial" w:hAnsi="Arial" w:cs="Arial"/>
                <w:color w:val="000000"/>
                <w:sz w:val="24"/>
                <w:szCs w:val="24"/>
              </w:rPr>
            </w:pPr>
            <w:r>
              <w:rPr>
                <w:rFonts w:ascii="Arial" w:eastAsia="Arial" w:hAnsi="Arial" w:cs="Arial"/>
                <w:color w:val="000000"/>
                <w:sz w:val="24"/>
                <w:szCs w:val="24"/>
              </w:rPr>
              <w:t>Government Department;</w:t>
            </w:r>
          </w:p>
          <w:p w14:paraId="0E207B59" w14:textId="77777777" w:rsidR="005166B9" w:rsidRDefault="00FD4693">
            <w:pPr>
              <w:numPr>
                <w:ilvl w:val="1"/>
                <w:numId w:val="3"/>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Non-Departmental Public Body or Assembly Sponsored Public Body (advisory, executive, or tribunal);</w:t>
            </w:r>
          </w:p>
          <w:p w14:paraId="0F28C566" w14:textId="77777777" w:rsidR="005166B9" w:rsidRDefault="00FD4693">
            <w:pPr>
              <w:numPr>
                <w:ilvl w:val="1"/>
                <w:numId w:val="3"/>
              </w:numPr>
              <w:pBdr>
                <w:top w:val="nil"/>
                <w:left w:val="nil"/>
                <w:bottom w:val="nil"/>
                <w:right w:val="nil"/>
                <w:between w:val="nil"/>
              </w:pBdr>
              <w:tabs>
                <w:tab w:val="left" w:pos="-576"/>
                <w:tab w:val="left" w:pos="144"/>
              </w:tabs>
              <w:spacing w:after="120"/>
              <w:ind w:left="689" w:hanging="545"/>
              <w:jc w:val="both"/>
              <w:rPr>
                <w:rFonts w:ascii="Arial" w:eastAsia="Arial" w:hAnsi="Arial" w:cs="Arial"/>
                <w:color w:val="000000"/>
                <w:sz w:val="24"/>
                <w:szCs w:val="24"/>
              </w:rPr>
            </w:pPr>
            <w:r>
              <w:rPr>
                <w:rFonts w:ascii="Arial" w:eastAsia="Arial" w:hAnsi="Arial" w:cs="Arial"/>
                <w:color w:val="000000"/>
                <w:sz w:val="24"/>
                <w:szCs w:val="24"/>
              </w:rPr>
              <w:t>Non-Ministerial Department; or</w:t>
            </w:r>
          </w:p>
          <w:p w14:paraId="2A299925" w14:textId="77777777" w:rsidR="005166B9" w:rsidRDefault="00FD4693">
            <w:pPr>
              <w:numPr>
                <w:ilvl w:val="1"/>
                <w:numId w:val="3"/>
              </w:numPr>
              <w:pBdr>
                <w:top w:val="nil"/>
                <w:left w:val="nil"/>
                <w:bottom w:val="nil"/>
                <w:right w:val="nil"/>
                <w:between w:val="nil"/>
              </w:pBdr>
              <w:tabs>
                <w:tab w:val="left" w:pos="-576"/>
                <w:tab w:val="left" w:pos="144"/>
              </w:tabs>
              <w:spacing w:after="120"/>
              <w:ind w:left="689" w:hanging="545"/>
              <w:jc w:val="both"/>
              <w:rPr>
                <w:rFonts w:ascii="Arial" w:eastAsia="Arial" w:hAnsi="Arial" w:cs="Arial"/>
                <w:color w:val="000000"/>
                <w:sz w:val="24"/>
                <w:szCs w:val="24"/>
              </w:rPr>
            </w:pPr>
            <w:r>
              <w:rPr>
                <w:rFonts w:ascii="Arial" w:eastAsia="Arial" w:hAnsi="Arial" w:cs="Arial"/>
                <w:color w:val="000000"/>
                <w:sz w:val="24"/>
                <w:szCs w:val="24"/>
              </w:rPr>
              <w:t>Executive Agency;</w:t>
            </w:r>
          </w:p>
        </w:tc>
      </w:tr>
      <w:tr w:rsidR="005166B9" w14:paraId="7C94F8EC" w14:textId="77777777">
        <w:tc>
          <w:tcPr>
            <w:tcW w:w="2070" w:type="dxa"/>
          </w:tcPr>
          <w:p w14:paraId="230C31B6" w14:textId="77777777" w:rsidR="005166B9" w:rsidRDefault="00FD469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"Change in Law"</w:t>
            </w:r>
          </w:p>
        </w:tc>
        <w:tc>
          <w:tcPr>
            <w:tcW w:w="8010" w:type="dxa"/>
          </w:tcPr>
          <w:p w14:paraId="25DBCEB0" w14:textId="77777777" w:rsidR="005166B9" w:rsidRDefault="00FD469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change in Law which impacts on the supply of the Deliverables and performance of the Contract which comes into force after the Start Date;</w:t>
            </w:r>
            <w:r>
              <w:rPr>
                <w:rFonts w:ascii="Arial" w:eastAsia="Arial" w:hAnsi="Arial" w:cs="Arial"/>
                <w:b/>
                <w:color w:val="000000"/>
                <w:sz w:val="24"/>
                <w:szCs w:val="24"/>
              </w:rPr>
              <w:t xml:space="preserve"> </w:t>
            </w:r>
          </w:p>
        </w:tc>
      </w:tr>
      <w:tr w:rsidR="005166B9" w14:paraId="20865497" w14:textId="77777777">
        <w:tc>
          <w:tcPr>
            <w:tcW w:w="2070" w:type="dxa"/>
          </w:tcPr>
          <w:p w14:paraId="7A1E5E68" w14:textId="77777777" w:rsidR="005166B9" w:rsidRDefault="00FD469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"Change of Control"</w:t>
            </w:r>
          </w:p>
        </w:tc>
        <w:tc>
          <w:tcPr>
            <w:tcW w:w="8010" w:type="dxa"/>
          </w:tcPr>
          <w:p w14:paraId="7A18B28A" w14:textId="77777777" w:rsidR="005166B9" w:rsidRDefault="00FD469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 change of control within the meaning of Section 450 of the Corporation Tax Act 2010;</w:t>
            </w:r>
          </w:p>
        </w:tc>
      </w:tr>
      <w:tr w:rsidR="005166B9" w14:paraId="0E10E509" w14:textId="77777777">
        <w:tc>
          <w:tcPr>
            <w:tcW w:w="2070" w:type="dxa"/>
          </w:tcPr>
          <w:p w14:paraId="5C67F374" w14:textId="77777777" w:rsidR="005166B9" w:rsidRDefault="00FD469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"Charges"</w:t>
            </w:r>
          </w:p>
        </w:tc>
        <w:tc>
          <w:tcPr>
            <w:tcW w:w="8010" w:type="dxa"/>
          </w:tcPr>
          <w:p w14:paraId="1AF397BD" w14:textId="77777777" w:rsidR="005166B9" w:rsidRDefault="00FD4693">
            <w:pPr>
              <w:pBdr>
                <w:top w:val="nil"/>
                <w:left w:val="nil"/>
                <w:bottom w:val="nil"/>
                <w:right w:val="nil"/>
                <w:between w:val="nil"/>
              </w:pBdr>
              <w:tabs>
                <w:tab w:val="left" w:pos="-179"/>
                <w:tab w:val="left" w:pos="-9"/>
              </w:tabs>
              <w:spacing w:after="120"/>
              <w:ind w:left="144"/>
              <w:jc w:val="both"/>
              <w:rPr>
                <w:rFonts w:ascii="Arial" w:eastAsia="Arial" w:hAnsi="Arial" w:cs="Arial"/>
                <w:color w:val="000000"/>
                <w:sz w:val="24"/>
                <w:szCs w:val="24"/>
              </w:rPr>
            </w:pPr>
            <w:r>
              <w:rPr>
                <w:rFonts w:ascii="Arial" w:eastAsia="Arial" w:hAnsi="Arial" w:cs="Arial"/>
                <w:color w:val="000000"/>
                <w:sz w:val="24"/>
                <w:szCs w:val="24"/>
              </w:rPr>
              <w:t>the prices (exclusive of any applicable VAT), payable to the Supplier by the Buyer under the Call-Off Contract, as set out in the Order Form, for the full and proper performance by the Supplier of its obligations under the Call-Off Contract less any Deductions;</w:t>
            </w:r>
          </w:p>
        </w:tc>
      </w:tr>
      <w:tr w:rsidR="005166B9" w14:paraId="2BBE43D4" w14:textId="77777777">
        <w:tc>
          <w:tcPr>
            <w:tcW w:w="2070" w:type="dxa"/>
          </w:tcPr>
          <w:p w14:paraId="392F46AA" w14:textId="77777777" w:rsidR="005166B9" w:rsidRDefault="00FD469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"Claim"</w:t>
            </w:r>
          </w:p>
        </w:tc>
        <w:tc>
          <w:tcPr>
            <w:tcW w:w="8010" w:type="dxa"/>
          </w:tcPr>
          <w:p w14:paraId="65B6AAAB" w14:textId="77777777" w:rsidR="005166B9" w:rsidRDefault="00FD469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claim which it appears that a Beneficiary is, or may become, entitled to indemnification under this Contract;</w:t>
            </w:r>
          </w:p>
        </w:tc>
      </w:tr>
      <w:tr w:rsidR="005166B9" w14:paraId="1DCB7CB3" w14:textId="77777777">
        <w:tc>
          <w:tcPr>
            <w:tcW w:w="2070" w:type="dxa"/>
          </w:tcPr>
          <w:p w14:paraId="3D3CF076" w14:textId="77777777" w:rsidR="005166B9" w:rsidRDefault="00FD469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"Commercially Sensitive Information"</w:t>
            </w:r>
          </w:p>
        </w:tc>
        <w:tc>
          <w:tcPr>
            <w:tcW w:w="8010" w:type="dxa"/>
          </w:tcPr>
          <w:p w14:paraId="65E1AD8A" w14:textId="77777777" w:rsidR="005166B9" w:rsidRDefault="00FD469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Confidential Information listed in the Framework Award Form or Order Form (if any) comprising of commercially sensitive information relating to the Supplier, its IPR or its business or which the Supplier has indicated to the Authority that, if disclosed by the Authority, would cause the Supplier significant commercial disadvantage or material financial loss;</w:t>
            </w:r>
          </w:p>
        </w:tc>
      </w:tr>
      <w:tr w:rsidR="005166B9" w14:paraId="2C6F937D" w14:textId="77777777">
        <w:tc>
          <w:tcPr>
            <w:tcW w:w="2070" w:type="dxa"/>
          </w:tcPr>
          <w:p w14:paraId="227B9248" w14:textId="77777777" w:rsidR="005166B9" w:rsidRDefault="00FD469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"Comparable Supply"</w:t>
            </w:r>
          </w:p>
        </w:tc>
        <w:tc>
          <w:tcPr>
            <w:tcW w:w="8010" w:type="dxa"/>
          </w:tcPr>
          <w:p w14:paraId="79A790EB" w14:textId="77777777" w:rsidR="005166B9" w:rsidRDefault="00FD469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supply of Deliverables to another Buyer of the Supplier that are the same or similar to the Deliverables;</w:t>
            </w:r>
          </w:p>
        </w:tc>
      </w:tr>
      <w:tr w:rsidR="00AF523C" w14:paraId="12FD424F" w14:textId="77777777">
        <w:tc>
          <w:tcPr>
            <w:tcW w:w="2070" w:type="dxa"/>
          </w:tcPr>
          <w:p w14:paraId="650E9B14" w14:textId="3A296485" w:rsidR="00AF523C" w:rsidRDefault="00AF523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“Compensation amount”</w:t>
            </w:r>
          </w:p>
        </w:tc>
        <w:tc>
          <w:tcPr>
            <w:tcW w:w="8010" w:type="dxa"/>
          </w:tcPr>
          <w:p w14:paraId="7C603C7B" w14:textId="05181DDA" w:rsidR="00AF523C" w:rsidRDefault="00AF523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the amount calculated by reference to the </w:t>
            </w:r>
            <w:r w:rsidR="00AC0D8E">
              <w:rPr>
                <w:rFonts w:ascii="Arial" w:eastAsia="Arial" w:hAnsi="Arial" w:cs="Arial"/>
                <w:color w:val="000000"/>
                <w:sz w:val="24"/>
                <w:szCs w:val="24"/>
              </w:rPr>
              <w:t>Order</w:t>
            </w:r>
            <w:r>
              <w:rPr>
                <w:rFonts w:ascii="Arial" w:eastAsia="Arial" w:hAnsi="Arial" w:cs="Arial"/>
                <w:color w:val="000000"/>
                <w:sz w:val="24"/>
                <w:szCs w:val="24"/>
              </w:rPr>
              <w:t xml:space="preserve"> Form (if any) to be retained by </w:t>
            </w:r>
            <w:r w:rsidR="00440D1E">
              <w:rPr>
                <w:rFonts w:ascii="Arial" w:eastAsia="Arial" w:hAnsi="Arial" w:cs="Arial"/>
                <w:color w:val="000000"/>
                <w:sz w:val="24"/>
                <w:szCs w:val="24"/>
              </w:rPr>
              <w:t xml:space="preserve">or paid to </w:t>
            </w:r>
            <w:r>
              <w:rPr>
                <w:rFonts w:ascii="Arial" w:eastAsia="Arial" w:hAnsi="Arial" w:cs="Arial"/>
                <w:color w:val="000000"/>
                <w:sz w:val="24"/>
                <w:szCs w:val="24"/>
              </w:rPr>
              <w:t xml:space="preserve">the Supplier on early </w:t>
            </w:r>
            <w:proofErr w:type="gramStart"/>
            <w:r>
              <w:rPr>
                <w:rFonts w:ascii="Arial" w:eastAsia="Arial" w:hAnsi="Arial" w:cs="Arial"/>
                <w:color w:val="000000"/>
                <w:sz w:val="24"/>
                <w:szCs w:val="24"/>
              </w:rPr>
              <w:t>no fault</w:t>
            </w:r>
            <w:proofErr w:type="gramEnd"/>
            <w:r>
              <w:rPr>
                <w:rFonts w:ascii="Arial" w:eastAsia="Arial" w:hAnsi="Arial" w:cs="Arial"/>
                <w:color w:val="000000"/>
                <w:sz w:val="24"/>
                <w:szCs w:val="24"/>
              </w:rPr>
              <w:t xml:space="preserve"> termination by the Buyer; </w:t>
            </w:r>
          </w:p>
        </w:tc>
      </w:tr>
      <w:tr w:rsidR="005166B9" w14:paraId="61615D7E" w14:textId="77777777">
        <w:tc>
          <w:tcPr>
            <w:tcW w:w="2070" w:type="dxa"/>
          </w:tcPr>
          <w:p w14:paraId="4F79EFA9" w14:textId="77777777" w:rsidR="005166B9" w:rsidRDefault="00FD469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"Compliance Officer"</w:t>
            </w:r>
          </w:p>
        </w:tc>
        <w:tc>
          <w:tcPr>
            <w:tcW w:w="8010" w:type="dxa"/>
          </w:tcPr>
          <w:p w14:paraId="13EC0AA7" w14:textId="77777777" w:rsidR="005166B9" w:rsidRDefault="00FD469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person(s) appointed by the Supplier who is responsible for ensuring that the Supplier complies with its legal obligations;</w:t>
            </w:r>
          </w:p>
        </w:tc>
      </w:tr>
      <w:tr w:rsidR="005166B9" w14:paraId="36ED940C" w14:textId="77777777">
        <w:tc>
          <w:tcPr>
            <w:tcW w:w="2070" w:type="dxa"/>
          </w:tcPr>
          <w:p w14:paraId="6F4C86C8" w14:textId="77777777" w:rsidR="005166B9" w:rsidRDefault="00FD469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"Confidential Information"</w:t>
            </w:r>
          </w:p>
        </w:tc>
        <w:tc>
          <w:tcPr>
            <w:tcW w:w="8010" w:type="dxa"/>
          </w:tcPr>
          <w:p w14:paraId="65DBA8F4" w14:textId="77777777" w:rsidR="005166B9" w:rsidRDefault="00FD469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means any information, however it is conveyed, that relates to the business, affairs, developments, trade secrets, Know-How, personnel and suppliers of CCS, the Buyer or the Supplier, including IPRs, together with information derived from the above, and any other information clearly designated as being confidential (whether or not it is marked as </w:t>
            </w:r>
            <w:r>
              <w:rPr>
                <w:rFonts w:ascii="Arial" w:eastAsia="Arial" w:hAnsi="Arial" w:cs="Arial"/>
                <w:b/>
                <w:color w:val="000000"/>
                <w:sz w:val="24"/>
                <w:szCs w:val="24"/>
              </w:rPr>
              <w:t>"confidential"</w:t>
            </w:r>
            <w:r>
              <w:rPr>
                <w:rFonts w:ascii="Arial" w:eastAsia="Arial" w:hAnsi="Arial" w:cs="Arial"/>
                <w:color w:val="000000"/>
                <w:sz w:val="24"/>
                <w:szCs w:val="24"/>
              </w:rPr>
              <w:t>) or which ought reasonably to be considered to be confidential;</w:t>
            </w:r>
          </w:p>
        </w:tc>
      </w:tr>
      <w:tr w:rsidR="005166B9" w14:paraId="4F2DEAD7" w14:textId="77777777">
        <w:tc>
          <w:tcPr>
            <w:tcW w:w="2070" w:type="dxa"/>
          </w:tcPr>
          <w:p w14:paraId="5355706B" w14:textId="77777777" w:rsidR="005166B9" w:rsidRDefault="00FD4693">
            <w:pPr>
              <w:keepNext/>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"Conflict of Interest"</w:t>
            </w:r>
          </w:p>
        </w:tc>
        <w:tc>
          <w:tcPr>
            <w:tcW w:w="8010" w:type="dxa"/>
          </w:tcPr>
          <w:p w14:paraId="0FC68D78" w14:textId="77777777" w:rsidR="005166B9" w:rsidRDefault="00FD469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 conflict between the financial or personal duties of the Supplier or the Supplier Staff and the duties owed to CCS or any Buyer under a Contract, in the reasonable opinion of the Buyer or CCS;</w:t>
            </w:r>
          </w:p>
        </w:tc>
      </w:tr>
      <w:tr w:rsidR="005166B9" w14:paraId="583E6B74" w14:textId="77777777">
        <w:tc>
          <w:tcPr>
            <w:tcW w:w="2070" w:type="dxa"/>
          </w:tcPr>
          <w:p w14:paraId="2F97276D" w14:textId="77777777" w:rsidR="005166B9" w:rsidRDefault="00FD469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"Contract"</w:t>
            </w:r>
          </w:p>
        </w:tc>
        <w:tc>
          <w:tcPr>
            <w:tcW w:w="8010" w:type="dxa"/>
          </w:tcPr>
          <w:p w14:paraId="54D05AF6" w14:textId="77777777" w:rsidR="005166B9" w:rsidRDefault="00FD469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either the Framework Contract or the Call-Off Contract, as the context requires;</w:t>
            </w:r>
          </w:p>
        </w:tc>
      </w:tr>
      <w:tr w:rsidR="005166B9" w14:paraId="53AA3342" w14:textId="77777777">
        <w:tc>
          <w:tcPr>
            <w:tcW w:w="2070" w:type="dxa"/>
          </w:tcPr>
          <w:p w14:paraId="6DAD240B" w14:textId="77777777" w:rsidR="005166B9" w:rsidRDefault="00FD469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"Contract Period"</w:t>
            </w:r>
          </w:p>
        </w:tc>
        <w:tc>
          <w:tcPr>
            <w:tcW w:w="8010" w:type="dxa"/>
          </w:tcPr>
          <w:p w14:paraId="264CB135" w14:textId="77777777" w:rsidR="005166B9" w:rsidRDefault="00FD469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term of either a Framework Contract or Call-Off Contract on and from the earlier of the:</w:t>
            </w:r>
          </w:p>
          <w:p w14:paraId="673717CB" w14:textId="77777777" w:rsidR="005166B9" w:rsidRDefault="00FD469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 applicable Start Date; or</w:t>
            </w:r>
          </w:p>
          <w:p w14:paraId="4798A2E8" w14:textId="77777777" w:rsidR="005166B9" w:rsidRDefault="00FD469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b) the Effective Date</w:t>
            </w:r>
          </w:p>
          <w:p w14:paraId="45AE8828" w14:textId="77777777" w:rsidR="005166B9" w:rsidRDefault="00FD469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up to and including the applicable End Date; </w:t>
            </w:r>
          </w:p>
        </w:tc>
      </w:tr>
      <w:tr w:rsidR="005166B9" w14:paraId="3BECE1F9" w14:textId="77777777">
        <w:tc>
          <w:tcPr>
            <w:tcW w:w="2070" w:type="dxa"/>
          </w:tcPr>
          <w:p w14:paraId="437D44D1" w14:textId="77777777" w:rsidR="005166B9" w:rsidRDefault="00FD469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"Contract Value"</w:t>
            </w:r>
          </w:p>
        </w:tc>
        <w:tc>
          <w:tcPr>
            <w:tcW w:w="8010" w:type="dxa"/>
          </w:tcPr>
          <w:p w14:paraId="37C5D799" w14:textId="77777777" w:rsidR="005166B9" w:rsidRDefault="00FD469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higher of the actual or expected total Charges paid or payable under a Contract where all obligations are met by the Supplier;</w:t>
            </w:r>
          </w:p>
        </w:tc>
      </w:tr>
      <w:tr w:rsidR="005166B9" w14:paraId="2DEC267F" w14:textId="77777777">
        <w:tc>
          <w:tcPr>
            <w:tcW w:w="2070" w:type="dxa"/>
          </w:tcPr>
          <w:p w14:paraId="09A5DBB0" w14:textId="77777777" w:rsidR="005166B9" w:rsidRDefault="00FD469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"Contract Year"</w:t>
            </w:r>
          </w:p>
        </w:tc>
        <w:tc>
          <w:tcPr>
            <w:tcW w:w="8010" w:type="dxa"/>
          </w:tcPr>
          <w:p w14:paraId="3AE99454" w14:textId="77777777" w:rsidR="005166B9" w:rsidRDefault="00FD469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 consecutive period of twelve (12) Months commencing on the Start Date or each anniversary thereof;</w:t>
            </w:r>
          </w:p>
        </w:tc>
      </w:tr>
      <w:tr w:rsidR="005166B9" w14:paraId="4D8C63DD" w14:textId="77777777">
        <w:tc>
          <w:tcPr>
            <w:tcW w:w="2070" w:type="dxa"/>
          </w:tcPr>
          <w:p w14:paraId="578D90A8" w14:textId="77777777" w:rsidR="005166B9" w:rsidRDefault="00FD469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"Control"</w:t>
            </w:r>
          </w:p>
        </w:tc>
        <w:tc>
          <w:tcPr>
            <w:tcW w:w="8010" w:type="dxa"/>
          </w:tcPr>
          <w:p w14:paraId="6CF3518C" w14:textId="77777777" w:rsidR="005166B9" w:rsidRDefault="00FD469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control in either of the senses defined in sections 450 and 1124 of the Corporation Tax Act 2010 and "</w:t>
            </w:r>
            <w:r>
              <w:rPr>
                <w:rFonts w:ascii="Arial" w:eastAsia="Arial" w:hAnsi="Arial" w:cs="Arial"/>
                <w:b/>
                <w:color w:val="000000"/>
                <w:sz w:val="24"/>
                <w:szCs w:val="24"/>
              </w:rPr>
              <w:t>Controlled</w:t>
            </w:r>
            <w:r>
              <w:rPr>
                <w:rFonts w:ascii="Arial" w:eastAsia="Arial" w:hAnsi="Arial" w:cs="Arial"/>
                <w:color w:val="000000"/>
                <w:sz w:val="24"/>
                <w:szCs w:val="24"/>
              </w:rPr>
              <w:t>" shall be construed accordingly;</w:t>
            </w:r>
          </w:p>
        </w:tc>
      </w:tr>
      <w:tr w:rsidR="005166B9" w14:paraId="45FCA273" w14:textId="77777777">
        <w:tc>
          <w:tcPr>
            <w:tcW w:w="2070" w:type="dxa"/>
          </w:tcPr>
          <w:p w14:paraId="1DE006CE" w14:textId="77777777" w:rsidR="005166B9" w:rsidRDefault="00FD469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“Controller”</w:t>
            </w:r>
          </w:p>
        </w:tc>
        <w:tc>
          <w:tcPr>
            <w:tcW w:w="8010" w:type="dxa"/>
          </w:tcPr>
          <w:p w14:paraId="3671C76E" w14:textId="77777777" w:rsidR="005166B9" w:rsidRDefault="00FD469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has the meaning given to it in the UK GDPR;</w:t>
            </w:r>
          </w:p>
        </w:tc>
      </w:tr>
      <w:tr w:rsidR="005166B9" w14:paraId="7F426C10" w14:textId="77777777">
        <w:tc>
          <w:tcPr>
            <w:tcW w:w="2070" w:type="dxa"/>
          </w:tcPr>
          <w:p w14:paraId="07F0E74E" w14:textId="77777777" w:rsidR="005166B9" w:rsidRDefault="00FD469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“Core Terms”</w:t>
            </w:r>
          </w:p>
        </w:tc>
        <w:tc>
          <w:tcPr>
            <w:tcW w:w="8010" w:type="dxa"/>
          </w:tcPr>
          <w:p w14:paraId="3FE6406D" w14:textId="77777777" w:rsidR="005166B9" w:rsidRDefault="00FD469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CCS’ terms and conditions for common goods and services which govern how Suppliers must interact with CCS and Buyers under Framework Contracts and Call-Off Contracts;</w:t>
            </w:r>
          </w:p>
        </w:tc>
      </w:tr>
      <w:tr w:rsidR="005166B9" w14:paraId="5791C26B" w14:textId="77777777">
        <w:tc>
          <w:tcPr>
            <w:tcW w:w="2070" w:type="dxa"/>
          </w:tcPr>
          <w:p w14:paraId="3238932E" w14:textId="77777777" w:rsidR="005166B9" w:rsidRDefault="00FD469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"Costs"</w:t>
            </w:r>
          </w:p>
        </w:tc>
        <w:tc>
          <w:tcPr>
            <w:tcW w:w="8010" w:type="dxa"/>
          </w:tcPr>
          <w:p w14:paraId="3F731ECF" w14:textId="77777777" w:rsidR="005166B9" w:rsidRDefault="00FD469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following costs (without double recovery) to the extent that they are reasonably and properly incurred by the Supplier in providing the Deliverables:</w:t>
            </w:r>
          </w:p>
          <w:p w14:paraId="3E71AF89" w14:textId="77777777" w:rsidR="005166B9" w:rsidRDefault="00FD4693">
            <w:pPr>
              <w:numPr>
                <w:ilvl w:val="1"/>
                <w:numId w:val="15"/>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the cost to the Supplier or the Key Subcontractor (as the context requires), calculated per Work Day, of engaging the Supplier Staff, including:</w:t>
            </w:r>
          </w:p>
          <w:p w14:paraId="2A67E76C" w14:textId="77777777" w:rsidR="005166B9" w:rsidRDefault="00FD4693">
            <w:pPr>
              <w:numPr>
                <w:ilvl w:val="2"/>
                <w:numId w:val="15"/>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base salary paid to the Supplier Staff;</w:t>
            </w:r>
          </w:p>
          <w:p w14:paraId="6F25ED1A" w14:textId="77777777" w:rsidR="005166B9" w:rsidRDefault="00FD4693">
            <w:pPr>
              <w:numPr>
                <w:ilvl w:val="2"/>
                <w:numId w:val="15"/>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employer’s National Insurance contributions;</w:t>
            </w:r>
          </w:p>
          <w:p w14:paraId="1D05FA9B" w14:textId="77777777" w:rsidR="005166B9" w:rsidRDefault="00FD4693">
            <w:pPr>
              <w:numPr>
                <w:ilvl w:val="2"/>
                <w:numId w:val="15"/>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pension contributions;</w:t>
            </w:r>
          </w:p>
          <w:p w14:paraId="096BBF0A" w14:textId="77777777" w:rsidR="005166B9" w:rsidRDefault="00FD4693">
            <w:pPr>
              <w:numPr>
                <w:ilvl w:val="2"/>
                <w:numId w:val="15"/>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 xml:space="preserve">car allowances; </w:t>
            </w:r>
          </w:p>
          <w:p w14:paraId="058C94FD" w14:textId="77777777" w:rsidR="005166B9" w:rsidRDefault="00FD4693">
            <w:pPr>
              <w:numPr>
                <w:ilvl w:val="2"/>
                <w:numId w:val="15"/>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any other contractual employment benefits;</w:t>
            </w:r>
          </w:p>
          <w:p w14:paraId="7D3C63C8" w14:textId="77777777" w:rsidR="005166B9" w:rsidRDefault="00FD4693">
            <w:pPr>
              <w:numPr>
                <w:ilvl w:val="2"/>
                <w:numId w:val="15"/>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staff training;</w:t>
            </w:r>
          </w:p>
          <w:p w14:paraId="10CCE080" w14:textId="77777777" w:rsidR="005166B9" w:rsidRDefault="00FD4693">
            <w:pPr>
              <w:numPr>
                <w:ilvl w:val="2"/>
                <w:numId w:val="15"/>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work place accommodation;</w:t>
            </w:r>
          </w:p>
          <w:p w14:paraId="1ECD5742" w14:textId="77777777" w:rsidR="005166B9" w:rsidRDefault="00FD4693">
            <w:pPr>
              <w:numPr>
                <w:ilvl w:val="2"/>
                <w:numId w:val="15"/>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work place IT equipment and tools reasonably necessary to provide the Deliverables (but not including items included within limb (b) below); and</w:t>
            </w:r>
          </w:p>
          <w:p w14:paraId="469940C3" w14:textId="77777777" w:rsidR="005166B9" w:rsidRDefault="00FD4693">
            <w:pPr>
              <w:numPr>
                <w:ilvl w:val="2"/>
                <w:numId w:val="15"/>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 xml:space="preserve">reasonable recruitment costs, as agreed with the Buyer; </w:t>
            </w:r>
          </w:p>
          <w:p w14:paraId="0056651E" w14:textId="77777777" w:rsidR="005166B9" w:rsidRDefault="00FD4693">
            <w:pPr>
              <w:numPr>
                <w:ilvl w:val="1"/>
                <w:numId w:val="15"/>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costs incurred in respect of Supplier Assets which would be treated as capital costs according to generally accepted accounting principles within the UK, which shall include the cost to be charged in respect of Supplier Assets by the Supplier to the Buyer or (to the extent that risk and title in any Supplier Asset is not held by the Supplier) any cost actually incurred by the Supplier in respect of those Supplier Assets;</w:t>
            </w:r>
          </w:p>
          <w:p w14:paraId="0D71CF12" w14:textId="77777777" w:rsidR="005166B9" w:rsidRDefault="00FD4693">
            <w:pPr>
              <w:numPr>
                <w:ilvl w:val="1"/>
                <w:numId w:val="15"/>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operational costs which are not included within (a) or (b) above, to the extent that such costs are necessary and properly incurred by the Supplier in the provision of the Deliverables; and</w:t>
            </w:r>
          </w:p>
          <w:p w14:paraId="6221AE98" w14:textId="77777777" w:rsidR="005166B9" w:rsidRDefault="00FD4693">
            <w:pPr>
              <w:numPr>
                <w:ilvl w:val="1"/>
                <w:numId w:val="15"/>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Reimbursable Expenses to the extent these have been specified as allowable in the Order Form and are incurred in delivering any Deliverables;</w:t>
            </w:r>
          </w:p>
          <w:p w14:paraId="4133E93F" w14:textId="77777777" w:rsidR="005166B9" w:rsidRDefault="00FD4693">
            <w:pPr>
              <w:pBdr>
                <w:top w:val="nil"/>
                <w:left w:val="nil"/>
                <w:bottom w:val="nil"/>
                <w:right w:val="nil"/>
                <w:between w:val="nil"/>
              </w:pBdr>
              <w:tabs>
                <w:tab w:val="left" w:pos="-179"/>
                <w:tab w:val="left" w:pos="411"/>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b/>
              <w:t>but excluding:</w:t>
            </w:r>
          </w:p>
          <w:p w14:paraId="7F87F4BE" w14:textId="77777777" w:rsidR="005166B9" w:rsidRDefault="00FD4693">
            <w:pPr>
              <w:numPr>
                <w:ilvl w:val="1"/>
                <w:numId w:val="15"/>
              </w:numPr>
              <w:pBdr>
                <w:top w:val="nil"/>
                <w:left w:val="nil"/>
                <w:bottom w:val="nil"/>
                <w:right w:val="nil"/>
                <w:between w:val="nil"/>
              </w:pBdr>
              <w:tabs>
                <w:tab w:val="left" w:pos="-576"/>
                <w:tab w:val="left" w:pos="144"/>
              </w:tabs>
              <w:spacing w:after="120"/>
              <w:ind w:left="576" w:hanging="432"/>
              <w:jc w:val="both"/>
              <w:rPr>
                <w:rFonts w:ascii="Arial" w:eastAsia="Arial" w:hAnsi="Arial" w:cs="Arial"/>
                <w:color w:val="000000"/>
                <w:sz w:val="24"/>
                <w:szCs w:val="24"/>
              </w:rPr>
            </w:pPr>
            <w:r>
              <w:rPr>
                <w:rFonts w:ascii="Arial" w:eastAsia="Arial" w:hAnsi="Arial" w:cs="Arial"/>
                <w:color w:val="000000"/>
                <w:sz w:val="24"/>
                <w:szCs w:val="24"/>
              </w:rPr>
              <w:t>Overhead;</w:t>
            </w:r>
          </w:p>
          <w:p w14:paraId="1DC51B94" w14:textId="77777777" w:rsidR="005166B9" w:rsidRDefault="00FD4693">
            <w:pPr>
              <w:numPr>
                <w:ilvl w:val="1"/>
                <w:numId w:val="15"/>
              </w:numPr>
              <w:pBdr>
                <w:top w:val="nil"/>
                <w:left w:val="nil"/>
                <w:bottom w:val="nil"/>
                <w:right w:val="nil"/>
                <w:between w:val="nil"/>
              </w:pBdr>
              <w:tabs>
                <w:tab w:val="left" w:pos="-576"/>
                <w:tab w:val="left" w:pos="144"/>
              </w:tabs>
              <w:spacing w:after="120"/>
              <w:ind w:left="576" w:hanging="432"/>
              <w:jc w:val="both"/>
              <w:rPr>
                <w:rFonts w:ascii="Arial" w:eastAsia="Arial" w:hAnsi="Arial" w:cs="Arial"/>
                <w:color w:val="000000"/>
                <w:sz w:val="24"/>
                <w:szCs w:val="24"/>
              </w:rPr>
            </w:pPr>
            <w:r>
              <w:rPr>
                <w:rFonts w:ascii="Arial" w:eastAsia="Arial" w:hAnsi="Arial" w:cs="Arial"/>
                <w:color w:val="000000"/>
                <w:sz w:val="24"/>
                <w:szCs w:val="24"/>
              </w:rPr>
              <w:t>financing or similar costs;</w:t>
            </w:r>
          </w:p>
          <w:p w14:paraId="2DBFCEAA" w14:textId="77777777" w:rsidR="005166B9" w:rsidRDefault="00FD4693">
            <w:pPr>
              <w:numPr>
                <w:ilvl w:val="1"/>
                <w:numId w:val="15"/>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lastRenderedPageBreak/>
              <w:t>maintenance and support costs to the extent that these relate to maintenance and/or support Deliverables provided beyond the Call-Off Contract Period whether in relation to Supplier Assets or otherwise;</w:t>
            </w:r>
          </w:p>
          <w:p w14:paraId="326817B1" w14:textId="77777777" w:rsidR="005166B9" w:rsidRDefault="00FD4693">
            <w:pPr>
              <w:numPr>
                <w:ilvl w:val="1"/>
                <w:numId w:val="15"/>
              </w:numPr>
              <w:pBdr>
                <w:top w:val="nil"/>
                <w:left w:val="nil"/>
                <w:bottom w:val="nil"/>
                <w:right w:val="nil"/>
                <w:between w:val="nil"/>
              </w:pBdr>
              <w:tabs>
                <w:tab w:val="left" w:pos="-576"/>
                <w:tab w:val="left" w:pos="144"/>
              </w:tabs>
              <w:spacing w:after="120"/>
              <w:ind w:left="689" w:hanging="545"/>
              <w:jc w:val="both"/>
              <w:rPr>
                <w:rFonts w:ascii="Arial" w:eastAsia="Arial" w:hAnsi="Arial" w:cs="Arial"/>
                <w:color w:val="000000"/>
                <w:sz w:val="24"/>
                <w:szCs w:val="24"/>
              </w:rPr>
            </w:pPr>
            <w:r>
              <w:rPr>
                <w:rFonts w:ascii="Arial" w:eastAsia="Arial" w:hAnsi="Arial" w:cs="Arial"/>
                <w:color w:val="000000"/>
                <w:sz w:val="24"/>
                <w:szCs w:val="24"/>
              </w:rPr>
              <w:t>taxation;</w:t>
            </w:r>
          </w:p>
          <w:p w14:paraId="5E61A329" w14:textId="77777777" w:rsidR="005166B9" w:rsidRDefault="00FD4693">
            <w:pPr>
              <w:numPr>
                <w:ilvl w:val="1"/>
                <w:numId w:val="15"/>
              </w:numPr>
              <w:pBdr>
                <w:top w:val="nil"/>
                <w:left w:val="nil"/>
                <w:bottom w:val="nil"/>
                <w:right w:val="nil"/>
                <w:between w:val="nil"/>
              </w:pBdr>
              <w:tabs>
                <w:tab w:val="left" w:pos="-576"/>
                <w:tab w:val="left" w:pos="144"/>
              </w:tabs>
              <w:spacing w:after="120"/>
              <w:ind w:left="689" w:hanging="545"/>
              <w:jc w:val="both"/>
              <w:rPr>
                <w:rFonts w:ascii="Arial" w:eastAsia="Arial" w:hAnsi="Arial" w:cs="Arial"/>
                <w:color w:val="000000"/>
                <w:sz w:val="24"/>
                <w:szCs w:val="24"/>
              </w:rPr>
            </w:pPr>
            <w:r>
              <w:rPr>
                <w:rFonts w:ascii="Arial" w:eastAsia="Arial" w:hAnsi="Arial" w:cs="Arial"/>
                <w:color w:val="000000"/>
                <w:sz w:val="24"/>
                <w:szCs w:val="24"/>
              </w:rPr>
              <w:t>fines and penalties;</w:t>
            </w:r>
          </w:p>
          <w:p w14:paraId="62BD4F22" w14:textId="77777777" w:rsidR="005166B9" w:rsidRDefault="00FD4693">
            <w:pPr>
              <w:numPr>
                <w:ilvl w:val="1"/>
                <w:numId w:val="15"/>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amounts payable under Call-Off Schedule 16 (Benchmarking) where such Schedule is used; and</w:t>
            </w:r>
          </w:p>
          <w:p w14:paraId="1391B321" w14:textId="77777777" w:rsidR="005166B9" w:rsidRDefault="00FD4693">
            <w:pPr>
              <w:numPr>
                <w:ilvl w:val="1"/>
                <w:numId w:val="15"/>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non-cash items (including depreciation, amortisation, impairments and movements in provisions);</w:t>
            </w:r>
          </w:p>
        </w:tc>
      </w:tr>
      <w:tr w:rsidR="00E34692" w14:paraId="0AAE73FF" w14:textId="77777777">
        <w:tc>
          <w:tcPr>
            <w:tcW w:w="2070" w:type="dxa"/>
          </w:tcPr>
          <w:p w14:paraId="276F1A94" w14:textId="2A593A1C" w:rsidR="00E34692" w:rsidRDefault="00E34692" w:rsidP="00E34692">
            <w:pPr>
              <w:pBdr>
                <w:top w:val="nil"/>
                <w:left w:val="nil"/>
                <w:bottom w:val="nil"/>
                <w:right w:val="nil"/>
                <w:between w:val="nil"/>
              </w:pBdr>
              <w:spacing w:after="120"/>
              <w:ind w:left="-108"/>
              <w:rPr>
                <w:rFonts w:ascii="Arial" w:eastAsia="Arial" w:hAnsi="Arial" w:cs="Arial"/>
                <w:b/>
                <w:color w:val="000000"/>
                <w:sz w:val="24"/>
                <w:szCs w:val="24"/>
              </w:rPr>
            </w:pPr>
            <w:r w:rsidRPr="00386A55">
              <w:rPr>
                <w:rFonts w:ascii="Arial" w:eastAsia="Arial" w:hAnsi="Arial" w:cs="Arial"/>
                <w:b/>
                <w:color w:val="000000"/>
                <w:sz w:val="24"/>
                <w:szCs w:val="24"/>
              </w:rPr>
              <w:lastRenderedPageBreak/>
              <w:t xml:space="preserve">"COTS Software" </w:t>
            </w:r>
            <w:proofErr w:type="gramStart"/>
            <w:r w:rsidRPr="00386A55">
              <w:rPr>
                <w:rFonts w:ascii="Arial" w:eastAsia="Arial" w:hAnsi="Arial" w:cs="Arial"/>
                <w:b/>
                <w:color w:val="000000"/>
                <w:sz w:val="24"/>
                <w:szCs w:val="24"/>
              </w:rPr>
              <w:t>or  "</w:t>
            </w:r>
            <w:proofErr w:type="gramEnd"/>
            <w:r w:rsidRPr="00386A55">
              <w:rPr>
                <w:rFonts w:ascii="Arial" w:eastAsia="Arial" w:hAnsi="Arial" w:cs="Arial"/>
                <w:b/>
                <w:color w:val="000000"/>
                <w:sz w:val="24"/>
                <w:szCs w:val="24"/>
              </w:rPr>
              <w:t>Commercial off the shelf Software"</w:t>
            </w:r>
          </w:p>
        </w:tc>
        <w:tc>
          <w:tcPr>
            <w:tcW w:w="8010" w:type="dxa"/>
          </w:tcPr>
          <w:p w14:paraId="6C5B6E96" w14:textId="28D70758" w:rsidR="00E34692" w:rsidRDefault="00E34692" w:rsidP="00E3469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sidRPr="00386A55">
              <w:rPr>
                <w:rFonts w:ascii="Arial" w:eastAsia="Arial" w:hAnsi="Arial" w:cs="Arial"/>
                <w:color w:val="000000"/>
                <w:sz w:val="24"/>
                <w:szCs w:val="24"/>
              </w:rPr>
              <w:t xml:space="preserve">non-customised software where the IPR may be owned and licensed either by the Supplier or a third party depending on the context, and which is commercially available for purchase </w:t>
            </w:r>
            <w:r>
              <w:rPr>
                <w:rFonts w:ascii="Arial" w:eastAsia="Arial" w:hAnsi="Arial" w:cs="Arial"/>
                <w:color w:val="000000"/>
                <w:sz w:val="24"/>
                <w:szCs w:val="24"/>
              </w:rPr>
              <w:t xml:space="preserve">or subscription use </w:t>
            </w:r>
            <w:r w:rsidRPr="00386A55">
              <w:rPr>
                <w:rFonts w:ascii="Arial" w:eastAsia="Arial" w:hAnsi="Arial" w:cs="Arial"/>
                <w:color w:val="000000"/>
                <w:sz w:val="24"/>
                <w:szCs w:val="24"/>
              </w:rPr>
              <w:t>and subject to standard licence terms;</w:t>
            </w:r>
          </w:p>
        </w:tc>
      </w:tr>
      <w:tr w:rsidR="005166B9" w14:paraId="5B2F5D55" w14:textId="77777777">
        <w:tc>
          <w:tcPr>
            <w:tcW w:w="2070" w:type="dxa"/>
          </w:tcPr>
          <w:p w14:paraId="0DDC5D03" w14:textId="77777777" w:rsidR="005166B9" w:rsidRDefault="00FD469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"CRTPA"</w:t>
            </w:r>
          </w:p>
        </w:tc>
        <w:tc>
          <w:tcPr>
            <w:tcW w:w="8010" w:type="dxa"/>
          </w:tcPr>
          <w:p w14:paraId="59E90345" w14:textId="77777777" w:rsidR="005166B9" w:rsidRDefault="00FD469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Contract Rights of Third Parties Act 1999;</w:t>
            </w:r>
          </w:p>
        </w:tc>
      </w:tr>
      <w:tr w:rsidR="00D11517" w14:paraId="39AEF330" w14:textId="77777777">
        <w:tc>
          <w:tcPr>
            <w:tcW w:w="2070" w:type="dxa"/>
          </w:tcPr>
          <w:p w14:paraId="2E01CC64" w14:textId="42B52D91" w:rsidR="00D11517" w:rsidRDefault="00D11517" w:rsidP="00D1151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"Crown Body"</w:t>
            </w:r>
          </w:p>
        </w:tc>
        <w:tc>
          <w:tcPr>
            <w:tcW w:w="8010" w:type="dxa"/>
          </w:tcPr>
          <w:p w14:paraId="160ADC37" w14:textId="3BA1F349" w:rsidR="00D11517" w:rsidRDefault="00D11517" w:rsidP="00D11517">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government of the United Kingdom (including the Northern Ireland Assembly and Executive Committee, the Scottish Government and the Welsh Government), including government ministers and government departments and particular bodies, persons, commissions or agencies from time to time carrying out functions on its behalf;</w:t>
            </w:r>
          </w:p>
        </w:tc>
      </w:tr>
      <w:tr w:rsidR="00F576ED" w14:paraId="04D611EF" w14:textId="77777777">
        <w:tc>
          <w:tcPr>
            <w:tcW w:w="2070" w:type="dxa"/>
          </w:tcPr>
          <w:p w14:paraId="39F7B86F" w14:textId="3F21B30E" w:rsidR="00F576ED" w:rsidRDefault="00F576ED" w:rsidP="00F576ED">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"Crown IPR"</w:t>
            </w:r>
          </w:p>
        </w:tc>
        <w:tc>
          <w:tcPr>
            <w:tcW w:w="8010" w:type="dxa"/>
          </w:tcPr>
          <w:p w14:paraId="6F6B5CDA" w14:textId="0ADEFE80" w:rsidR="00F576ED" w:rsidRDefault="00F576ED" w:rsidP="00F576ED">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means any IPR which is owned by or licensed to the Crown, and which are or have been developed independently of this Contract (whether prior to the Effective Date or otherwise);</w:t>
            </w:r>
          </w:p>
        </w:tc>
      </w:tr>
      <w:tr w:rsidR="005166B9" w14:paraId="61C07D1F" w14:textId="77777777">
        <w:tc>
          <w:tcPr>
            <w:tcW w:w="2070" w:type="dxa"/>
          </w:tcPr>
          <w:p w14:paraId="431C7BF7" w14:textId="77777777" w:rsidR="005166B9" w:rsidRDefault="00FD469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“Data Protection Impact Assessment”</w:t>
            </w:r>
          </w:p>
        </w:tc>
        <w:tc>
          <w:tcPr>
            <w:tcW w:w="8010" w:type="dxa"/>
          </w:tcPr>
          <w:p w14:paraId="36CC96C3" w14:textId="77777777" w:rsidR="005166B9" w:rsidRDefault="00FD469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 assessment by the Controller of the impact of the envisaged Processing on the protection of Personal Data;</w:t>
            </w:r>
          </w:p>
        </w:tc>
      </w:tr>
      <w:tr w:rsidR="005166B9" w14:paraId="3A943A14" w14:textId="77777777">
        <w:tc>
          <w:tcPr>
            <w:tcW w:w="2070" w:type="dxa"/>
          </w:tcPr>
          <w:p w14:paraId="308CF6A3" w14:textId="77777777" w:rsidR="005166B9" w:rsidRDefault="00FD469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"Data Protection Legislation"</w:t>
            </w:r>
          </w:p>
        </w:tc>
        <w:tc>
          <w:tcPr>
            <w:tcW w:w="8010" w:type="dxa"/>
          </w:tcPr>
          <w:p w14:paraId="2ADEA608" w14:textId="77777777" w:rsidR="005166B9" w:rsidRDefault="00FD469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w:t>
            </w:r>
            <w:proofErr w:type="spellStart"/>
            <w:r>
              <w:rPr>
                <w:rFonts w:ascii="Arial" w:eastAsia="Arial" w:hAnsi="Arial" w:cs="Arial"/>
                <w:color w:val="000000"/>
                <w:sz w:val="24"/>
                <w:szCs w:val="24"/>
              </w:rPr>
              <w:t>i</w:t>
            </w:r>
            <w:proofErr w:type="spellEnd"/>
            <w:r>
              <w:rPr>
                <w:rFonts w:ascii="Arial" w:eastAsia="Arial" w:hAnsi="Arial" w:cs="Arial"/>
                <w:color w:val="000000"/>
                <w:sz w:val="24"/>
                <w:szCs w:val="24"/>
              </w:rPr>
              <w:t>) the UK GDPR as amended from time to time; (ii) the DPA 2018 to the extent that it relates to Processing of Personal Data and privacy; (iii) all applicable Law about the Processing of Personal Data and privacy;</w:t>
            </w:r>
          </w:p>
        </w:tc>
      </w:tr>
      <w:tr w:rsidR="005166B9" w14:paraId="036CA0EE" w14:textId="77777777">
        <w:tc>
          <w:tcPr>
            <w:tcW w:w="2070" w:type="dxa"/>
          </w:tcPr>
          <w:p w14:paraId="6384DB71" w14:textId="77777777" w:rsidR="005166B9" w:rsidRDefault="00FD469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“Data Protection Liability Cap”</w:t>
            </w:r>
          </w:p>
        </w:tc>
        <w:tc>
          <w:tcPr>
            <w:tcW w:w="8010" w:type="dxa"/>
          </w:tcPr>
          <w:p w14:paraId="7AE37782" w14:textId="77777777" w:rsidR="005166B9" w:rsidRDefault="00FD469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amount specified in the Framework Award Form;</w:t>
            </w:r>
          </w:p>
        </w:tc>
      </w:tr>
      <w:tr w:rsidR="005166B9" w14:paraId="27EED1B5" w14:textId="77777777">
        <w:tc>
          <w:tcPr>
            <w:tcW w:w="2070" w:type="dxa"/>
          </w:tcPr>
          <w:p w14:paraId="796670BF" w14:textId="77777777" w:rsidR="005166B9" w:rsidRDefault="00FD469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"Data Protection Officer"</w:t>
            </w:r>
          </w:p>
        </w:tc>
        <w:tc>
          <w:tcPr>
            <w:tcW w:w="8010" w:type="dxa"/>
          </w:tcPr>
          <w:p w14:paraId="6A00489E" w14:textId="77777777" w:rsidR="005166B9" w:rsidRDefault="00FD469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has the meaning given to it in the UK GDPR;</w:t>
            </w:r>
          </w:p>
        </w:tc>
      </w:tr>
      <w:tr w:rsidR="005166B9" w14:paraId="4F256D10" w14:textId="77777777">
        <w:tc>
          <w:tcPr>
            <w:tcW w:w="2070" w:type="dxa"/>
          </w:tcPr>
          <w:p w14:paraId="0FEFCD58" w14:textId="77777777" w:rsidR="005166B9" w:rsidRDefault="00FD469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"Data Subject"</w:t>
            </w:r>
          </w:p>
        </w:tc>
        <w:tc>
          <w:tcPr>
            <w:tcW w:w="8010" w:type="dxa"/>
          </w:tcPr>
          <w:p w14:paraId="7DA57278" w14:textId="77777777" w:rsidR="005166B9" w:rsidRDefault="00FD469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has the meaning given to it in the UK GDPR;</w:t>
            </w:r>
          </w:p>
        </w:tc>
      </w:tr>
      <w:tr w:rsidR="005166B9" w14:paraId="507DFC41" w14:textId="77777777">
        <w:tc>
          <w:tcPr>
            <w:tcW w:w="2070" w:type="dxa"/>
          </w:tcPr>
          <w:p w14:paraId="69D5E83C" w14:textId="77777777" w:rsidR="005166B9" w:rsidRDefault="00FD469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"Data Subject Access Request"</w:t>
            </w:r>
          </w:p>
        </w:tc>
        <w:tc>
          <w:tcPr>
            <w:tcW w:w="8010" w:type="dxa"/>
          </w:tcPr>
          <w:p w14:paraId="4E3B3571" w14:textId="77777777" w:rsidR="005166B9" w:rsidRDefault="00FD469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 request made by, or on behalf of, a Data Subject in accordance with rights granted pursuant to the Data Protection Legislation to access their Personal Data;</w:t>
            </w:r>
          </w:p>
        </w:tc>
      </w:tr>
      <w:tr w:rsidR="005166B9" w14:paraId="5F088826" w14:textId="77777777">
        <w:tc>
          <w:tcPr>
            <w:tcW w:w="2070" w:type="dxa"/>
          </w:tcPr>
          <w:p w14:paraId="0C43190A" w14:textId="77777777" w:rsidR="005166B9" w:rsidRDefault="00FD469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"Deductions"</w:t>
            </w:r>
          </w:p>
        </w:tc>
        <w:tc>
          <w:tcPr>
            <w:tcW w:w="8010" w:type="dxa"/>
          </w:tcPr>
          <w:p w14:paraId="05245CCB" w14:textId="77777777" w:rsidR="005166B9" w:rsidRDefault="00FD469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all Service Credits, Delay Payments (if applicable), or any other deduction which the Buyer is paid or is payable to the Buyer under a Call-Off Contract;</w:t>
            </w:r>
          </w:p>
        </w:tc>
      </w:tr>
      <w:tr w:rsidR="005166B9" w14:paraId="42DEA366" w14:textId="77777777">
        <w:tc>
          <w:tcPr>
            <w:tcW w:w="2070" w:type="dxa"/>
          </w:tcPr>
          <w:p w14:paraId="655C00AE" w14:textId="77777777" w:rsidR="005166B9" w:rsidRDefault="00FD469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"Default"</w:t>
            </w:r>
          </w:p>
        </w:tc>
        <w:tc>
          <w:tcPr>
            <w:tcW w:w="8010" w:type="dxa"/>
          </w:tcPr>
          <w:p w14:paraId="1592FC1D" w14:textId="77777777" w:rsidR="005166B9" w:rsidRDefault="00FD469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any breach of the obligations of the Supplier (including abandonment of a Contract in breach of its terms) or any other default (including material default), act, omission, negligence or statement of the Supplier, of its Subcontractors or any Supplier Staff howsoever arising in connection with </w:t>
            </w:r>
            <w:r>
              <w:rPr>
                <w:rFonts w:ascii="Arial" w:eastAsia="Arial" w:hAnsi="Arial" w:cs="Arial"/>
                <w:color w:val="000000"/>
                <w:sz w:val="24"/>
                <w:szCs w:val="24"/>
              </w:rPr>
              <w:lastRenderedPageBreak/>
              <w:t>or in relation to the subject-matter of a Contract and in respect of which the Supplier is liable to the Relevant Authority;</w:t>
            </w:r>
          </w:p>
        </w:tc>
      </w:tr>
      <w:tr w:rsidR="005166B9" w14:paraId="6F112A8D" w14:textId="77777777">
        <w:tc>
          <w:tcPr>
            <w:tcW w:w="2070" w:type="dxa"/>
          </w:tcPr>
          <w:p w14:paraId="722F691A" w14:textId="77777777" w:rsidR="005166B9" w:rsidRDefault="00FD469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"Default Management Charge"</w:t>
            </w:r>
          </w:p>
        </w:tc>
        <w:tc>
          <w:tcPr>
            <w:tcW w:w="8010" w:type="dxa"/>
          </w:tcPr>
          <w:p w14:paraId="1FDFFD9D" w14:textId="77777777" w:rsidR="005166B9" w:rsidRDefault="00FD469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has the meaning given to it in Paragraph 8.1.1 of Framework Schedule 5 (Management Charges and Information);</w:t>
            </w:r>
          </w:p>
        </w:tc>
      </w:tr>
      <w:tr w:rsidR="005166B9" w14:paraId="043FB839" w14:textId="77777777">
        <w:tc>
          <w:tcPr>
            <w:tcW w:w="2070" w:type="dxa"/>
          </w:tcPr>
          <w:p w14:paraId="009A5E1C" w14:textId="77777777" w:rsidR="005166B9" w:rsidRDefault="00FD469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"Delay Payments"</w:t>
            </w:r>
          </w:p>
        </w:tc>
        <w:tc>
          <w:tcPr>
            <w:tcW w:w="8010" w:type="dxa"/>
          </w:tcPr>
          <w:p w14:paraId="3D190774" w14:textId="77777777" w:rsidR="005166B9" w:rsidRDefault="00FD469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amounts (if any) payable by the Supplier to the Buyer in respect of a delay in respect of a Milestone as specified in the Implementation Plan;</w:t>
            </w:r>
          </w:p>
        </w:tc>
      </w:tr>
      <w:tr w:rsidR="005166B9" w14:paraId="621CC7D4" w14:textId="77777777">
        <w:tc>
          <w:tcPr>
            <w:tcW w:w="2070" w:type="dxa"/>
          </w:tcPr>
          <w:p w14:paraId="1B8B21CD" w14:textId="77777777" w:rsidR="005166B9" w:rsidRDefault="00FD469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"Deliverables"</w:t>
            </w:r>
          </w:p>
        </w:tc>
        <w:tc>
          <w:tcPr>
            <w:tcW w:w="8010" w:type="dxa"/>
          </w:tcPr>
          <w:p w14:paraId="439C66B3" w14:textId="2C733AA2" w:rsidR="005166B9" w:rsidRDefault="00FD469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Goods</w:t>
            </w:r>
            <w:r w:rsidR="00533019">
              <w:rPr>
                <w:rFonts w:ascii="Arial" w:eastAsia="Arial" w:hAnsi="Arial" w:cs="Arial"/>
                <w:color w:val="000000"/>
                <w:sz w:val="24"/>
                <w:szCs w:val="24"/>
              </w:rPr>
              <w:t>,</w:t>
            </w:r>
            <w:r>
              <w:rPr>
                <w:rFonts w:ascii="Arial" w:eastAsia="Arial" w:hAnsi="Arial" w:cs="Arial"/>
                <w:color w:val="000000"/>
                <w:sz w:val="24"/>
                <w:szCs w:val="24"/>
              </w:rPr>
              <w:t xml:space="preserve"> Services </w:t>
            </w:r>
            <w:r w:rsidR="00533019">
              <w:rPr>
                <w:rFonts w:ascii="Arial" w:eastAsia="Arial" w:hAnsi="Arial" w:cs="Arial"/>
                <w:color w:val="000000"/>
                <w:sz w:val="24"/>
                <w:szCs w:val="24"/>
              </w:rPr>
              <w:t xml:space="preserve">or software </w:t>
            </w:r>
            <w:r>
              <w:rPr>
                <w:rFonts w:ascii="Arial" w:eastAsia="Arial" w:hAnsi="Arial" w:cs="Arial"/>
                <w:color w:val="000000"/>
                <w:sz w:val="24"/>
                <w:szCs w:val="24"/>
              </w:rPr>
              <w:t xml:space="preserve">that may be ordered under the Contract including the Documentation; </w:t>
            </w:r>
          </w:p>
        </w:tc>
      </w:tr>
      <w:tr w:rsidR="005166B9" w14:paraId="5A468503" w14:textId="77777777">
        <w:tc>
          <w:tcPr>
            <w:tcW w:w="2070" w:type="dxa"/>
          </w:tcPr>
          <w:p w14:paraId="052AF1F3" w14:textId="77777777" w:rsidR="005166B9" w:rsidRDefault="00FD469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"Delivery"</w:t>
            </w:r>
          </w:p>
        </w:tc>
        <w:tc>
          <w:tcPr>
            <w:tcW w:w="8010" w:type="dxa"/>
          </w:tcPr>
          <w:p w14:paraId="5B90BA43" w14:textId="77777777" w:rsidR="005166B9" w:rsidRDefault="00FD469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delivery of the relevant Deliverable or Milestone in accordance with the terms of a Call-Off Contract as confirmed and accepted by the Buyer by either (a) confirmation in writing to the Supplier; or (b) where Call-Off Schedule 13 (Implementation Plan and Testing) is used issue by the Buyer of a Satisfaction Certificate. "</w:t>
            </w:r>
            <w:r>
              <w:rPr>
                <w:rFonts w:ascii="Arial" w:eastAsia="Arial" w:hAnsi="Arial" w:cs="Arial"/>
                <w:b/>
                <w:color w:val="000000"/>
                <w:sz w:val="24"/>
                <w:szCs w:val="24"/>
              </w:rPr>
              <w:t>Deliver</w:t>
            </w:r>
            <w:r>
              <w:rPr>
                <w:rFonts w:ascii="Arial" w:eastAsia="Arial" w:hAnsi="Arial" w:cs="Arial"/>
                <w:color w:val="000000"/>
                <w:sz w:val="24"/>
                <w:szCs w:val="24"/>
              </w:rPr>
              <w:t>" and "</w:t>
            </w:r>
            <w:r>
              <w:rPr>
                <w:rFonts w:ascii="Arial" w:eastAsia="Arial" w:hAnsi="Arial" w:cs="Arial"/>
                <w:b/>
                <w:color w:val="000000"/>
                <w:sz w:val="24"/>
                <w:szCs w:val="24"/>
              </w:rPr>
              <w:t>Delivered</w:t>
            </w:r>
            <w:r>
              <w:rPr>
                <w:rFonts w:ascii="Arial" w:eastAsia="Arial" w:hAnsi="Arial" w:cs="Arial"/>
                <w:color w:val="000000"/>
                <w:sz w:val="24"/>
                <w:szCs w:val="24"/>
              </w:rPr>
              <w:t>" shall be construed accordingly;</w:t>
            </w:r>
          </w:p>
        </w:tc>
      </w:tr>
      <w:tr w:rsidR="00246275" w14:paraId="42D182A5" w14:textId="77777777">
        <w:tc>
          <w:tcPr>
            <w:tcW w:w="2070" w:type="dxa"/>
          </w:tcPr>
          <w:p w14:paraId="5E69BAC6" w14:textId="77777777" w:rsidR="00246275" w:rsidRDefault="00246275" w:rsidP="00246275">
            <w:pPr>
              <w:pBdr>
                <w:top w:val="nil"/>
                <w:left w:val="nil"/>
                <w:bottom w:val="nil"/>
                <w:right w:val="nil"/>
                <w:between w:val="nil"/>
              </w:pBdr>
              <w:spacing w:after="120"/>
              <w:ind w:left="-108"/>
              <w:rPr>
                <w:rFonts w:ascii="Arial" w:eastAsia="Arial" w:hAnsi="Arial" w:cs="Arial"/>
                <w:b/>
                <w:color w:val="000000"/>
                <w:sz w:val="24"/>
                <w:szCs w:val="24"/>
              </w:rPr>
            </w:pPr>
            <w:r w:rsidRPr="0097484D">
              <w:rPr>
                <w:rFonts w:ascii="Arial" w:hAnsi="Arial" w:cs="Arial"/>
                <w:b/>
                <w:sz w:val="24"/>
                <w:szCs w:val="24"/>
              </w:rPr>
              <w:t>“Dependent Parent Undertaking”</w:t>
            </w:r>
          </w:p>
        </w:tc>
        <w:tc>
          <w:tcPr>
            <w:tcW w:w="8010" w:type="dxa"/>
          </w:tcPr>
          <w:p w14:paraId="192F3358" w14:textId="77777777" w:rsidR="00246275" w:rsidRDefault="00246275" w:rsidP="00246275">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sidRPr="0097484D">
              <w:rPr>
                <w:rFonts w:ascii="Arial" w:hAnsi="Arial" w:cs="Arial"/>
                <w:sz w:val="24"/>
                <w:szCs w:val="24"/>
              </w:rPr>
              <w:t>means any Parent Undertaking which provides any of its Subsidiary Undertakings and/or Associates, whether directly or indirectly, with any financial, trading, managerial or other assistance of whatever nature, without which the Supplier would be unable to continue the day to day conduct and operation of its business in the same manner as carried on at the time of entering into the Contract, including for the avoidance of doubt the provision of the Deliverables in accordance with the terms of the Contract;</w:t>
            </w:r>
          </w:p>
        </w:tc>
      </w:tr>
      <w:tr w:rsidR="005166B9" w14:paraId="7CAC9151" w14:textId="77777777">
        <w:tc>
          <w:tcPr>
            <w:tcW w:w="2070" w:type="dxa"/>
          </w:tcPr>
          <w:p w14:paraId="7A8DDF4F" w14:textId="77777777" w:rsidR="005166B9" w:rsidRDefault="00FD469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"Disclosing Party"</w:t>
            </w:r>
          </w:p>
        </w:tc>
        <w:tc>
          <w:tcPr>
            <w:tcW w:w="8010" w:type="dxa"/>
          </w:tcPr>
          <w:p w14:paraId="2FBCE511" w14:textId="77777777" w:rsidR="005166B9" w:rsidRDefault="00FD469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Party directly or indirectly providing Confidential Information to the other Party in accordance with Clause 15 (What you must keep confidential);</w:t>
            </w:r>
          </w:p>
        </w:tc>
      </w:tr>
      <w:tr w:rsidR="005166B9" w14:paraId="49313F03" w14:textId="77777777">
        <w:tc>
          <w:tcPr>
            <w:tcW w:w="2070" w:type="dxa"/>
          </w:tcPr>
          <w:p w14:paraId="034FCFF5" w14:textId="77777777" w:rsidR="005166B9" w:rsidRDefault="00FD4693">
            <w:pPr>
              <w:keepNext/>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"Dispute"</w:t>
            </w:r>
          </w:p>
        </w:tc>
        <w:tc>
          <w:tcPr>
            <w:tcW w:w="8010" w:type="dxa"/>
          </w:tcPr>
          <w:p w14:paraId="27E9A37A" w14:textId="77777777" w:rsidR="005166B9" w:rsidRDefault="00FD469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any claim, dispute or difference (whether contractual or non-contractual) arising out of or in connection with the Contract or in connection with the negotiation, existence, legal validity, enforceability or termination of the Contract, whether the alleged liability shall arise under English law or under the law of some other country and regardless of whether a particular cause of action may successfully be brought in the English courts; </w:t>
            </w:r>
          </w:p>
        </w:tc>
      </w:tr>
      <w:tr w:rsidR="005166B9" w14:paraId="79FEA711" w14:textId="77777777">
        <w:tc>
          <w:tcPr>
            <w:tcW w:w="2070" w:type="dxa"/>
          </w:tcPr>
          <w:p w14:paraId="014B2FB5" w14:textId="77777777" w:rsidR="005166B9" w:rsidRDefault="00FD469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"Dispute Resolution Procedure"</w:t>
            </w:r>
          </w:p>
        </w:tc>
        <w:tc>
          <w:tcPr>
            <w:tcW w:w="8010" w:type="dxa"/>
          </w:tcPr>
          <w:p w14:paraId="3C71EF85" w14:textId="77777777" w:rsidR="005166B9" w:rsidRDefault="00FD469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dispute resolution procedure set out in Clause 34 (Resolving disputes);</w:t>
            </w:r>
          </w:p>
        </w:tc>
      </w:tr>
      <w:tr w:rsidR="005166B9" w14:paraId="33CBB323" w14:textId="77777777">
        <w:tc>
          <w:tcPr>
            <w:tcW w:w="2070" w:type="dxa"/>
          </w:tcPr>
          <w:p w14:paraId="395C361B" w14:textId="77777777" w:rsidR="005166B9" w:rsidRDefault="00FD469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"Documentation"</w:t>
            </w:r>
          </w:p>
        </w:tc>
        <w:tc>
          <w:tcPr>
            <w:tcW w:w="8010" w:type="dxa"/>
          </w:tcPr>
          <w:p w14:paraId="21947843" w14:textId="77777777" w:rsidR="005166B9" w:rsidRDefault="00FD4693">
            <w:pPr>
              <w:pBdr>
                <w:top w:val="nil"/>
                <w:left w:val="nil"/>
                <w:bottom w:val="nil"/>
                <w:right w:val="nil"/>
                <w:between w:val="nil"/>
              </w:pBdr>
              <w:tabs>
                <w:tab w:val="left" w:pos="-576"/>
                <w:tab w:val="left" w:pos="144"/>
              </w:tabs>
              <w:spacing w:after="120"/>
              <w:ind w:left="175"/>
              <w:jc w:val="both"/>
              <w:rPr>
                <w:rFonts w:ascii="Arial" w:eastAsia="Arial" w:hAnsi="Arial" w:cs="Arial"/>
                <w:color w:val="000000"/>
                <w:sz w:val="24"/>
                <w:szCs w:val="24"/>
              </w:rPr>
            </w:pPr>
            <w:r>
              <w:rPr>
                <w:rFonts w:ascii="Arial" w:eastAsia="Arial" w:hAnsi="Arial" w:cs="Arial"/>
                <w:color w:val="000000"/>
                <w:sz w:val="24"/>
                <w:szCs w:val="24"/>
              </w:rPr>
              <w:t>descriptions of the Services and Service Levels, technical specifications, user manuals, training manuals, operating manuals, process definitions and procedures, system environment descriptions and all such other documentation (whether in hardcopy or electronic form) is required to be supplied by the Supplier to the Buyer under a Contract as:</w:t>
            </w:r>
          </w:p>
          <w:p w14:paraId="57D65CA2" w14:textId="77777777" w:rsidR="005166B9" w:rsidRDefault="00FD4693">
            <w:pPr>
              <w:numPr>
                <w:ilvl w:val="1"/>
                <w:numId w:val="15"/>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would reasonably be required by a competent third party capable of Good Industry Practice contracted by the Buyer to develop, configure, build, deploy, run, maintain, upgrade and test the individual systems that provide the Deliverables</w:t>
            </w:r>
          </w:p>
          <w:p w14:paraId="55AC98D4" w14:textId="77777777" w:rsidR="005166B9" w:rsidRDefault="00FD4693">
            <w:pPr>
              <w:numPr>
                <w:ilvl w:val="1"/>
                <w:numId w:val="15"/>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lastRenderedPageBreak/>
              <w:t>is required by the Supplier in order to provide the Deliverables; and/or</w:t>
            </w:r>
          </w:p>
          <w:p w14:paraId="596FDF05" w14:textId="77777777" w:rsidR="005166B9" w:rsidRDefault="00FD4693">
            <w:pPr>
              <w:numPr>
                <w:ilvl w:val="1"/>
                <w:numId w:val="15"/>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has been or shall be generated for the purpose of providing the Deliverables;</w:t>
            </w:r>
          </w:p>
        </w:tc>
      </w:tr>
      <w:tr w:rsidR="005166B9" w14:paraId="477087B6" w14:textId="77777777">
        <w:tc>
          <w:tcPr>
            <w:tcW w:w="2070" w:type="dxa"/>
          </w:tcPr>
          <w:p w14:paraId="28A403E8" w14:textId="77777777" w:rsidR="005166B9" w:rsidRDefault="00FD469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"DOTAS"</w:t>
            </w:r>
          </w:p>
        </w:tc>
        <w:tc>
          <w:tcPr>
            <w:tcW w:w="8010" w:type="dxa"/>
          </w:tcPr>
          <w:p w14:paraId="3736ABFB" w14:textId="77777777" w:rsidR="005166B9" w:rsidRDefault="00FD4693">
            <w:pPr>
              <w:pBdr>
                <w:top w:val="nil"/>
                <w:left w:val="nil"/>
                <w:bottom w:val="nil"/>
                <w:right w:val="nil"/>
                <w:between w:val="nil"/>
              </w:pBdr>
              <w:tabs>
                <w:tab w:val="left" w:pos="-576"/>
                <w:tab w:val="left" w:pos="144"/>
              </w:tabs>
              <w:spacing w:after="120"/>
              <w:ind w:left="175"/>
              <w:jc w:val="both"/>
              <w:rPr>
                <w:rFonts w:ascii="Arial" w:eastAsia="Arial" w:hAnsi="Arial" w:cs="Arial"/>
                <w:color w:val="000000"/>
                <w:sz w:val="24"/>
                <w:szCs w:val="24"/>
              </w:rPr>
            </w:pPr>
            <w:r>
              <w:rPr>
                <w:rFonts w:ascii="Arial" w:eastAsia="Arial" w:hAnsi="Arial" w:cs="Arial"/>
                <w:color w:val="000000"/>
                <w:sz w:val="24"/>
                <w:szCs w:val="24"/>
              </w:rPr>
              <w:t>the Disclosure of Tax Avoidance Schemes rules which require a promoter of Tax schemes to tell HMRC of any specified notifiable arrangements or proposals and to provide prescribed information on those arrangements or proposals within set time limits as contained in Part 7 of the Finance Act 2004 and in secondary legislation made under vires contained in Part 7 of the Finance Act 2004 and as extended to National Insurance Contributions;</w:t>
            </w:r>
          </w:p>
        </w:tc>
      </w:tr>
      <w:tr w:rsidR="005166B9" w14:paraId="299702FE" w14:textId="77777777">
        <w:tc>
          <w:tcPr>
            <w:tcW w:w="2070" w:type="dxa"/>
          </w:tcPr>
          <w:p w14:paraId="43132E8E" w14:textId="77777777" w:rsidR="005166B9" w:rsidRDefault="00FD469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“DPA 2018”</w:t>
            </w:r>
          </w:p>
        </w:tc>
        <w:tc>
          <w:tcPr>
            <w:tcW w:w="8010" w:type="dxa"/>
          </w:tcPr>
          <w:p w14:paraId="51EDC478" w14:textId="77777777" w:rsidR="005166B9" w:rsidRDefault="00FD4693">
            <w:pPr>
              <w:pBdr>
                <w:top w:val="nil"/>
                <w:left w:val="nil"/>
                <w:bottom w:val="nil"/>
                <w:right w:val="nil"/>
                <w:between w:val="nil"/>
              </w:pBdr>
              <w:tabs>
                <w:tab w:val="left" w:pos="-576"/>
                <w:tab w:val="left" w:pos="144"/>
              </w:tabs>
              <w:spacing w:after="120"/>
              <w:ind w:left="175"/>
              <w:jc w:val="both"/>
              <w:rPr>
                <w:rFonts w:ascii="Arial" w:eastAsia="Arial" w:hAnsi="Arial" w:cs="Arial"/>
                <w:color w:val="000000"/>
                <w:sz w:val="24"/>
                <w:szCs w:val="24"/>
              </w:rPr>
            </w:pPr>
            <w:r>
              <w:rPr>
                <w:rFonts w:ascii="Arial" w:eastAsia="Arial" w:hAnsi="Arial" w:cs="Arial"/>
                <w:color w:val="000000"/>
                <w:sz w:val="24"/>
                <w:szCs w:val="24"/>
              </w:rPr>
              <w:t>the Data Protection Act 2018;</w:t>
            </w:r>
          </w:p>
        </w:tc>
      </w:tr>
      <w:tr w:rsidR="005166B9" w14:paraId="04593156" w14:textId="77777777">
        <w:tc>
          <w:tcPr>
            <w:tcW w:w="2070" w:type="dxa"/>
          </w:tcPr>
          <w:p w14:paraId="215A841F" w14:textId="77777777" w:rsidR="005166B9" w:rsidRDefault="00FD469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"Due Diligence Information"</w:t>
            </w:r>
          </w:p>
        </w:tc>
        <w:tc>
          <w:tcPr>
            <w:tcW w:w="8010" w:type="dxa"/>
          </w:tcPr>
          <w:p w14:paraId="288B556E" w14:textId="77777777" w:rsidR="005166B9" w:rsidRDefault="00FD4693">
            <w:pPr>
              <w:pBdr>
                <w:top w:val="nil"/>
                <w:left w:val="nil"/>
                <w:bottom w:val="nil"/>
                <w:right w:val="nil"/>
                <w:between w:val="nil"/>
              </w:pBdr>
              <w:tabs>
                <w:tab w:val="left" w:pos="-576"/>
                <w:tab w:val="left" w:pos="144"/>
              </w:tabs>
              <w:spacing w:after="120"/>
              <w:ind w:left="175"/>
              <w:jc w:val="both"/>
              <w:rPr>
                <w:rFonts w:ascii="Arial" w:eastAsia="Arial" w:hAnsi="Arial" w:cs="Arial"/>
                <w:color w:val="000000"/>
                <w:sz w:val="24"/>
                <w:szCs w:val="24"/>
              </w:rPr>
            </w:pPr>
            <w:r>
              <w:rPr>
                <w:rFonts w:ascii="Arial" w:eastAsia="Arial" w:hAnsi="Arial" w:cs="Arial"/>
                <w:color w:val="000000"/>
                <w:sz w:val="24"/>
                <w:szCs w:val="24"/>
              </w:rPr>
              <w:t>any information supplied to the Supplier by or on behalf of the Authority prior to the Start Date;</w:t>
            </w:r>
          </w:p>
        </w:tc>
      </w:tr>
      <w:tr w:rsidR="005166B9" w14:paraId="74EF96CD" w14:textId="77777777">
        <w:tc>
          <w:tcPr>
            <w:tcW w:w="2070" w:type="dxa"/>
          </w:tcPr>
          <w:p w14:paraId="6CC65195" w14:textId="77777777" w:rsidR="005166B9" w:rsidRDefault="00FD469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“Effective Date”</w:t>
            </w:r>
          </w:p>
        </w:tc>
        <w:tc>
          <w:tcPr>
            <w:tcW w:w="8010" w:type="dxa"/>
          </w:tcPr>
          <w:p w14:paraId="0F34BAD1" w14:textId="77777777" w:rsidR="005166B9" w:rsidRDefault="00FD4693">
            <w:pPr>
              <w:pBdr>
                <w:top w:val="nil"/>
                <w:left w:val="nil"/>
                <w:bottom w:val="nil"/>
                <w:right w:val="nil"/>
                <w:between w:val="nil"/>
              </w:pBdr>
              <w:tabs>
                <w:tab w:val="left" w:pos="-576"/>
                <w:tab w:val="left" w:pos="144"/>
              </w:tabs>
              <w:spacing w:after="120"/>
              <w:ind w:left="175"/>
              <w:jc w:val="both"/>
              <w:rPr>
                <w:rFonts w:ascii="Arial" w:eastAsia="Arial" w:hAnsi="Arial" w:cs="Arial"/>
                <w:color w:val="000000"/>
                <w:sz w:val="24"/>
                <w:szCs w:val="24"/>
              </w:rPr>
            </w:pPr>
            <w:r>
              <w:rPr>
                <w:rFonts w:ascii="Arial" w:eastAsia="Arial" w:hAnsi="Arial" w:cs="Arial"/>
                <w:color w:val="000000"/>
                <w:sz w:val="24"/>
                <w:szCs w:val="24"/>
              </w:rPr>
              <w:t>the date on which the final Party has signed the Contract;</w:t>
            </w:r>
          </w:p>
        </w:tc>
      </w:tr>
      <w:tr w:rsidR="005166B9" w14:paraId="50ABE6BB" w14:textId="77777777">
        <w:tc>
          <w:tcPr>
            <w:tcW w:w="2070" w:type="dxa"/>
          </w:tcPr>
          <w:p w14:paraId="26791D20" w14:textId="77777777" w:rsidR="005166B9" w:rsidRDefault="00FD469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"EIR"</w:t>
            </w:r>
          </w:p>
        </w:tc>
        <w:tc>
          <w:tcPr>
            <w:tcW w:w="8010" w:type="dxa"/>
          </w:tcPr>
          <w:p w14:paraId="0F5F28C6" w14:textId="77777777" w:rsidR="005166B9" w:rsidRDefault="00FD469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Environmental Information Regulations 2004;</w:t>
            </w:r>
          </w:p>
        </w:tc>
      </w:tr>
      <w:tr w:rsidR="005166B9" w14:paraId="335B2ECF" w14:textId="77777777">
        <w:tc>
          <w:tcPr>
            <w:tcW w:w="2070" w:type="dxa"/>
          </w:tcPr>
          <w:p w14:paraId="6DBF739D" w14:textId="77777777" w:rsidR="005166B9" w:rsidRDefault="00FD469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“Electronic Invoice”</w:t>
            </w:r>
          </w:p>
        </w:tc>
        <w:tc>
          <w:tcPr>
            <w:tcW w:w="8010" w:type="dxa"/>
          </w:tcPr>
          <w:p w14:paraId="64C34C83" w14:textId="77777777" w:rsidR="005166B9" w:rsidRDefault="00FD469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 invoice which has been issued, transmitted and received in a structured electronic format which allows for its automatic and electronic processing and which complies with (a) the European standard and (b) any of the syntaxes published in Commission Implementing Decision (EU) 2017/1870;</w:t>
            </w:r>
          </w:p>
        </w:tc>
      </w:tr>
      <w:tr w:rsidR="005166B9" w14:paraId="7DEE6002" w14:textId="77777777">
        <w:tc>
          <w:tcPr>
            <w:tcW w:w="2070" w:type="dxa"/>
          </w:tcPr>
          <w:p w14:paraId="4C1F8048" w14:textId="77777777" w:rsidR="005166B9" w:rsidRDefault="00FD469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"Employment Regulations"</w:t>
            </w:r>
          </w:p>
        </w:tc>
        <w:tc>
          <w:tcPr>
            <w:tcW w:w="8010" w:type="dxa"/>
          </w:tcPr>
          <w:p w14:paraId="6F893620" w14:textId="77777777" w:rsidR="005166B9" w:rsidRDefault="00FD469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Transfer of Undertakings (Protection of Employment) Regulations 2006 (SI 2006/246) as amended or replaced or any other Regulations implementing the European Council Directive 77/187/EEC;</w:t>
            </w:r>
          </w:p>
        </w:tc>
      </w:tr>
      <w:tr w:rsidR="005166B9" w14:paraId="41DBB1BB" w14:textId="77777777">
        <w:tc>
          <w:tcPr>
            <w:tcW w:w="2070" w:type="dxa"/>
          </w:tcPr>
          <w:p w14:paraId="3CE62CA1" w14:textId="77777777" w:rsidR="005166B9" w:rsidRDefault="00FD469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 xml:space="preserve">"End Date" </w:t>
            </w:r>
          </w:p>
        </w:tc>
        <w:tc>
          <w:tcPr>
            <w:tcW w:w="8010" w:type="dxa"/>
          </w:tcPr>
          <w:p w14:paraId="654AF8B9" w14:textId="77777777" w:rsidR="005166B9" w:rsidRDefault="00FD4693">
            <w:pPr>
              <w:pBdr>
                <w:top w:val="nil"/>
                <w:left w:val="nil"/>
                <w:bottom w:val="nil"/>
                <w:right w:val="nil"/>
                <w:between w:val="nil"/>
              </w:pBdr>
              <w:tabs>
                <w:tab w:val="left" w:pos="-576"/>
                <w:tab w:val="left" w:pos="144"/>
              </w:tabs>
              <w:spacing w:after="120"/>
              <w:ind w:firstLine="141"/>
              <w:jc w:val="both"/>
              <w:rPr>
                <w:rFonts w:ascii="Arial" w:eastAsia="Arial" w:hAnsi="Arial" w:cs="Arial"/>
                <w:color w:val="000000"/>
                <w:sz w:val="24"/>
                <w:szCs w:val="24"/>
              </w:rPr>
            </w:pPr>
            <w:r>
              <w:rPr>
                <w:rFonts w:ascii="Arial" w:eastAsia="Arial" w:hAnsi="Arial" w:cs="Arial"/>
                <w:color w:val="000000"/>
                <w:sz w:val="24"/>
                <w:szCs w:val="24"/>
              </w:rPr>
              <w:t xml:space="preserve">the earlier of: </w:t>
            </w:r>
          </w:p>
          <w:p w14:paraId="0834C20E" w14:textId="77777777" w:rsidR="005166B9" w:rsidRDefault="00FD4693">
            <w:pPr>
              <w:numPr>
                <w:ilvl w:val="1"/>
                <w:numId w:val="18"/>
              </w:numPr>
              <w:pBdr>
                <w:top w:val="nil"/>
                <w:left w:val="nil"/>
                <w:bottom w:val="nil"/>
                <w:right w:val="nil"/>
                <w:between w:val="nil"/>
              </w:pBdr>
              <w:tabs>
                <w:tab w:val="left" w:pos="-576"/>
                <w:tab w:val="left" w:pos="144"/>
              </w:tabs>
              <w:spacing w:after="120"/>
              <w:ind w:hanging="291"/>
              <w:jc w:val="both"/>
              <w:rPr>
                <w:rFonts w:ascii="Arial" w:eastAsia="Arial" w:hAnsi="Arial" w:cs="Arial"/>
                <w:color w:val="000000"/>
                <w:sz w:val="24"/>
                <w:szCs w:val="24"/>
              </w:rPr>
            </w:pPr>
            <w:r>
              <w:rPr>
                <w:rFonts w:ascii="Arial" w:eastAsia="Arial" w:hAnsi="Arial" w:cs="Arial"/>
                <w:color w:val="000000"/>
                <w:sz w:val="24"/>
                <w:szCs w:val="24"/>
              </w:rPr>
              <w:t>the Expiry Date (as extended by any Extension Period exercised by the Relevant Authority under Clause 10.1.2); or</w:t>
            </w:r>
          </w:p>
          <w:p w14:paraId="6B053553" w14:textId="77777777" w:rsidR="005166B9" w:rsidRDefault="00FD4693">
            <w:pPr>
              <w:numPr>
                <w:ilvl w:val="1"/>
                <w:numId w:val="18"/>
              </w:numPr>
              <w:pBdr>
                <w:top w:val="nil"/>
                <w:left w:val="nil"/>
                <w:bottom w:val="nil"/>
                <w:right w:val="nil"/>
                <w:between w:val="nil"/>
              </w:pBdr>
              <w:tabs>
                <w:tab w:val="left" w:pos="-576"/>
                <w:tab w:val="left" w:pos="144"/>
              </w:tabs>
              <w:spacing w:after="120"/>
              <w:ind w:hanging="291"/>
              <w:jc w:val="both"/>
              <w:rPr>
                <w:rFonts w:ascii="Arial" w:eastAsia="Arial" w:hAnsi="Arial" w:cs="Arial"/>
                <w:color w:val="000000"/>
                <w:sz w:val="24"/>
                <w:szCs w:val="24"/>
              </w:rPr>
            </w:pPr>
            <w:r>
              <w:rPr>
                <w:rFonts w:ascii="Arial" w:eastAsia="Arial" w:hAnsi="Arial" w:cs="Arial"/>
                <w:color w:val="000000"/>
                <w:sz w:val="24"/>
                <w:szCs w:val="24"/>
              </w:rPr>
              <w:t>if a Contract is terminated before the date specified in (a) above, the date of termination of the Contract;</w:t>
            </w:r>
          </w:p>
        </w:tc>
      </w:tr>
      <w:tr w:rsidR="007B0DC4" w14:paraId="7553AA8B" w14:textId="77777777">
        <w:tc>
          <w:tcPr>
            <w:tcW w:w="2070" w:type="dxa"/>
          </w:tcPr>
          <w:p w14:paraId="2ACB6159" w14:textId="17704EAB" w:rsidR="007B0DC4" w:rsidRDefault="007B0DC4" w:rsidP="007B0DC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"End User"</w:t>
            </w:r>
          </w:p>
        </w:tc>
        <w:tc>
          <w:tcPr>
            <w:tcW w:w="8010" w:type="dxa"/>
          </w:tcPr>
          <w:p w14:paraId="57626899" w14:textId="4A86A613" w:rsidR="007B0DC4" w:rsidRDefault="007B0DC4" w:rsidP="007B0DC4">
            <w:pPr>
              <w:pBdr>
                <w:top w:val="nil"/>
                <w:left w:val="nil"/>
                <w:bottom w:val="nil"/>
                <w:right w:val="nil"/>
                <w:between w:val="nil"/>
              </w:pBdr>
              <w:tabs>
                <w:tab w:val="left" w:pos="-576"/>
                <w:tab w:val="left" w:pos="144"/>
              </w:tabs>
              <w:spacing w:after="120"/>
              <w:ind w:firstLine="141"/>
              <w:jc w:val="both"/>
              <w:rPr>
                <w:rFonts w:ascii="Arial" w:eastAsia="Arial" w:hAnsi="Arial" w:cs="Arial"/>
                <w:color w:val="000000"/>
                <w:sz w:val="24"/>
                <w:szCs w:val="24"/>
              </w:rPr>
            </w:pPr>
            <w:r>
              <w:rPr>
                <w:rFonts w:ascii="Arial" w:eastAsia="Arial" w:hAnsi="Arial" w:cs="Arial"/>
                <w:color w:val="000000"/>
                <w:sz w:val="24"/>
                <w:szCs w:val="24"/>
              </w:rPr>
              <w:t>means a party that is accessing the Deliverables provided pursuant to this Contract (including the Buyer where it is accessing services on its own account as a user);</w:t>
            </w:r>
          </w:p>
        </w:tc>
      </w:tr>
      <w:tr w:rsidR="005166B9" w14:paraId="44855B64" w14:textId="77777777">
        <w:tc>
          <w:tcPr>
            <w:tcW w:w="2070" w:type="dxa"/>
          </w:tcPr>
          <w:p w14:paraId="243E2116" w14:textId="77777777" w:rsidR="005166B9" w:rsidRDefault="00FD469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"Environmental Policy"</w:t>
            </w:r>
          </w:p>
        </w:tc>
        <w:tc>
          <w:tcPr>
            <w:tcW w:w="8010" w:type="dxa"/>
          </w:tcPr>
          <w:p w14:paraId="7E880DC6" w14:textId="77777777" w:rsidR="005166B9" w:rsidRDefault="00FD469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to conserve energy, water, wood, paper and other resources, reduce waste and phase out the use of ozone depleting substances and minimise the release of greenhouse gases, volatile organic compounds and other substances damaging to health and the environment, including any written environmental policy of the Buyer;</w:t>
            </w:r>
          </w:p>
        </w:tc>
      </w:tr>
      <w:tr w:rsidR="005166B9" w14:paraId="185674CC" w14:textId="77777777">
        <w:tc>
          <w:tcPr>
            <w:tcW w:w="2070" w:type="dxa"/>
          </w:tcPr>
          <w:p w14:paraId="4B0FEBE9" w14:textId="77777777" w:rsidR="005166B9" w:rsidRDefault="00FD469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"Equality and Human Rights Commission"</w:t>
            </w:r>
          </w:p>
        </w:tc>
        <w:tc>
          <w:tcPr>
            <w:tcW w:w="8010" w:type="dxa"/>
          </w:tcPr>
          <w:p w14:paraId="3CDA28A7" w14:textId="77777777" w:rsidR="005166B9" w:rsidRDefault="00FD469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UK Government body named as such as may be renamed or replaced by an equivalent body from time to time;</w:t>
            </w:r>
          </w:p>
        </w:tc>
      </w:tr>
      <w:tr w:rsidR="005166B9" w14:paraId="0335E75A" w14:textId="77777777">
        <w:tc>
          <w:tcPr>
            <w:tcW w:w="2070" w:type="dxa"/>
          </w:tcPr>
          <w:p w14:paraId="47CB7FB0" w14:textId="77777777" w:rsidR="005166B9" w:rsidRDefault="00FD469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“Estimated Year 1 Charges”</w:t>
            </w:r>
          </w:p>
        </w:tc>
        <w:tc>
          <w:tcPr>
            <w:tcW w:w="8010" w:type="dxa"/>
          </w:tcPr>
          <w:p w14:paraId="64EE6B03" w14:textId="77777777" w:rsidR="005166B9" w:rsidRDefault="00FD4693">
            <w:pPr>
              <w:pBdr>
                <w:top w:val="nil"/>
                <w:left w:val="nil"/>
                <w:bottom w:val="nil"/>
                <w:right w:val="nil"/>
                <w:between w:val="nil"/>
              </w:pBdr>
              <w:tabs>
                <w:tab w:val="left" w:pos="-17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anticipated total Charges payable by the Buyer in the first Contract Year specified in the Order Form;</w:t>
            </w:r>
          </w:p>
          <w:p w14:paraId="298C3765" w14:textId="77777777" w:rsidR="005166B9" w:rsidRDefault="005166B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p>
        </w:tc>
      </w:tr>
    </w:tbl>
    <w:p w14:paraId="45F90A03" w14:textId="77777777" w:rsidR="005166B9" w:rsidRDefault="005166B9">
      <w:pPr>
        <w:widowControl w:val="0"/>
        <w:pBdr>
          <w:top w:val="nil"/>
          <w:left w:val="nil"/>
          <w:bottom w:val="nil"/>
          <w:right w:val="nil"/>
          <w:between w:val="nil"/>
        </w:pBdr>
        <w:spacing w:after="0"/>
        <w:rPr>
          <w:rFonts w:ascii="Arial" w:eastAsia="Arial" w:hAnsi="Arial" w:cs="Arial"/>
          <w:color w:val="000000"/>
          <w:sz w:val="24"/>
          <w:szCs w:val="24"/>
        </w:rPr>
      </w:pPr>
    </w:p>
    <w:tbl>
      <w:tblPr>
        <w:tblStyle w:val="a3"/>
        <w:tblW w:w="97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400"/>
        <w:gridCol w:w="7350"/>
      </w:tblGrid>
      <w:tr w:rsidR="005166B9" w14:paraId="71B522A7" w14:textId="77777777">
        <w:tc>
          <w:tcPr>
            <w:tcW w:w="2400" w:type="dxa"/>
            <w:tcBorders>
              <w:top w:val="nil"/>
              <w:left w:val="single" w:sz="8" w:space="0" w:color="000000"/>
              <w:bottom w:val="single" w:sz="4" w:space="0" w:color="000000"/>
              <w:right w:val="single" w:sz="8" w:space="0" w:color="000000"/>
            </w:tcBorders>
            <w:tcMar>
              <w:top w:w="0" w:type="dxa"/>
              <w:left w:w="108" w:type="dxa"/>
              <w:bottom w:w="0" w:type="dxa"/>
              <w:right w:w="108" w:type="dxa"/>
            </w:tcMar>
          </w:tcPr>
          <w:p w14:paraId="7E01F645" w14:textId="77777777" w:rsidR="005166B9" w:rsidRDefault="00FD469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"Estimated Yearly Charges"</w:t>
            </w:r>
          </w:p>
        </w:tc>
        <w:tc>
          <w:tcPr>
            <w:tcW w:w="7350" w:type="dxa"/>
            <w:tcBorders>
              <w:top w:val="nil"/>
              <w:left w:val="nil"/>
              <w:bottom w:val="single" w:sz="4" w:space="0" w:color="000000"/>
              <w:right w:val="single" w:sz="8" w:space="0" w:color="000000"/>
            </w:tcBorders>
            <w:tcMar>
              <w:top w:w="0" w:type="dxa"/>
              <w:left w:w="108" w:type="dxa"/>
              <w:bottom w:w="0" w:type="dxa"/>
              <w:right w:w="108" w:type="dxa"/>
            </w:tcMar>
          </w:tcPr>
          <w:p w14:paraId="2C51BC77" w14:textId="77777777" w:rsidR="005166B9" w:rsidRDefault="00FD4693">
            <w:pPr>
              <w:pBdr>
                <w:top w:val="nil"/>
                <w:left w:val="nil"/>
                <w:bottom w:val="nil"/>
                <w:right w:val="nil"/>
                <w:between w:val="nil"/>
              </w:pBdr>
              <w:tabs>
                <w:tab w:val="left" w:pos="-17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means for the purposes of calculating each Party’s annual liability under clause </w:t>
            </w:r>
            <w:proofErr w:type="gramStart"/>
            <w:r>
              <w:rPr>
                <w:rFonts w:ascii="Arial" w:eastAsia="Arial" w:hAnsi="Arial" w:cs="Arial"/>
                <w:color w:val="000000"/>
                <w:sz w:val="24"/>
                <w:szCs w:val="24"/>
              </w:rPr>
              <w:t>11.2 :</w:t>
            </w:r>
            <w:proofErr w:type="gramEnd"/>
          </w:p>
          <w:p w14:paraId="56B7DD66" w14:textId="77777777" w:rsidR="005166B9" w:rsidRDefault="00FD4693">
            <w:pPr>
              <w:pBdr>
                <w:top w:val="nil"/>
                <w:left w:val="nil"/>
                <w:bottom w:val="nil"/>
                <w:right w:val="nil"/>
                <w:between w:val="nil"/>
              </w:pBdr>
              <w:tabs>
                <w:tab w:val="left" w:pos="-179"/>
              </w:tabs>
              <w:spacing w:after="120"/>
              <w:ind w:left="170"/>
              <w:jc w:val="both"/>
              <w:rPr>
                <w:rFonts w:ascii="Arial" w:eastAsia="Arial" w:hAnsi="Arial" w:cs="Arial"/>
                <w:color w:val="000000"/>
                <w:sz w:val="24"/>
                <w:szCs w:val="24"/>
              </w:rPr>
            </w:pPr>
            <w:proofErr w:type="spellStart"/>
            <w:r>
              <w:rPr>
                <w:rFonts w:ascii="Arial" w:eastAsia="Arial" w:hAnsi="Arial" w:cs="Arial"/>
                <w:color w:val="000000"/>
                <w:sz w:val="24"/>
                <w:szCs w:val="24"/>
              </w:rPr>
              <w:t>i</w:t>
            </w:r>
            <w:proofErr w:type="spellEnd"/>
            <w:r>
              <w:rPr>
                <w:rFonts w:ascii="Arial" w:eastAsia="Arial" w:hAnsi="Arial" w:cs="Arial"/>
                <w:color w:val="000000"/>
                <w:sz w:val="24"/>
                <w:szCs w:val="24"/>
              </w:rPr>
              <w:t xml:space="preserve">)  in the first Contract Year, the Estimated Year 1 Charges; or </w:t>
            </w:r>
          </w:p>
          <w:p w14:paraId="66B5666C" w14:textId="77777777" w:rsidR="005166B9" w:rsidRDefault="00FD4693">
            <w:pPr>
              <w:pBdr>
                <w:top w:val="nil"/>
                <w:left w:val="nil"/>
                <w:bottom w:val="nil"/>
                <w:right w:val="nil"/>
                <w:between w:val="nil"/>
              </w:pBdr>
              <w:tabs>
                <w:tab w:val="left" w:pos="-17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ii) in the any subsequent Contract Years, the Charges paid or payable in the previous Call-off Contract Year; or</w:t>
            </w:r>
          </w:p>
          <w:p w14:paraId="58272B4E" w14:textId="77777777" w:rsidR="005166B9" w:rsidRDefault="00FD4693">
            <w:pPr>
              <w:pBdr>
                <w:top w:val="nil"/>
                <w:left w:val="nil"/>
                <w:bottom w:val="nil"/>
                <w:right w:val="nil"/>
                <w:between w:val="nil"/>
              </w:pBdr>
              <w:tabs>
                <w:tab w:val="left" w:pos="-179"/>
              </w:tabs>
              <w:spacing w:after="120"/>
              <w:jc w:val="both"/>
              <w:rPr>
                <w:rFonts w:ascii="Arial" w:eastAsia="Arial" w:hAnsi="Arial" w:cs="Arial"/>
                <w:color w:val="000000"/>
                <w:sz w:val="24"/>
                <w:szCs w:val="24"/>
              </w:rPr>
            </w:pPr>
            <w:r>
              <w:rPr>
                <w:rFonts w:ascii="Arial" w:eastAsia="Arial" w:hAnsi="Arial" w:cs="Arial"/>
                <w:color w:val="000000"/>
                <w:sz w:val="24"/>
                <w:szCs w:val="24"/>
              </w:rPr>
              <w:t>    iii) after the end of the Call-off Contract, the Charges paid or payable in the last Contract Year during the Call-off Contract Period;  </w:t>
            </w:r>
          </w:p>
        </w:tc>
      </w:tr>
      <w:tr w:rsidR="005166B9" w14:paraId="5F381F52" w14:textId="77777777">
        <w:tc>
          <w:tcPr>
            <w:tcW w:w="24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FF6045" w14:textId="77777777" w:rsidR="005166B9" w:rsidRPr="00A23894" w:rsidRDefault="00FD4693">
            <w:pPr>
              <w:pBdr>
                <w:top w:val="nil"/>
                <w:left w:val="nil"/>
                <w:bottom w:val="nil"/>
                <w:right w:val="nil"/>
                <w:between w:val="nil"/>
              </w:pBdr>
              <w:spacing w:after="120"/>
              <w:ind w:left="-108"/>
              <w:rPr>
                <w:rFonts w:ascii="Arial" w:eastAsia="Arial" w:hAnsi="Arial" w:cs="Arial"/>
                <w:b/>
                <w:color w:val="000000"/>
                <w:sz w:val="24"/>
                <w:szCs w:val="24"/>
              </w:rPr>
            </w:pPr>
            <w:r w:rsidRPr="00F96617">
              <w:rPr>
                <w:rFonts w:ascii="Arial" w:eastAsia="Arial" w:hAnsi="Arial" w:cs="Arial"/>
                <w:sz w:val="24"/>
                <w:szCs w:val="24"/>
              </w:rPr>
              <w:t>“</w:t>
            </w:r>
            <w:r w:rsidRPr="00F96617">
              <w:rPr>
                <w:rFonts w:ascii="Arial" w:eastAsia="Arial" w:hAnsi="Arial" w:cs="Arial"/>
                <w:b/>
                <w:sz w:val="24"/>
                <w:szCs w:val="24"/>
              </w:rPr>
              <w:t>Exempt Buyer</w:t>
            </w:r>
            <w:r w:rsidRPr="00F96617">
              <w:rPr>
                <w:rFonts w:ascii="Arial" w:eastAsia="Arial" w:hAnsi="Arial" w:cs="Arial"/>
                <w:sz w:val="24"/>
                <w:szCs w:val="24"/>
              </w:rPr>
              <w:t>”</w:t>
            </w:r>
          </w:p>
        </w:tc>
        <w:tc>
          <w:tcPr>
            <w:tcW w:w="73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C1D1DCA" w14:textId="77777777" w:rsidR="005166B9" w:rsidRPr="00F96617" w:rsidRDefault="00FD4693">
            <w:pPr>
              <w:pBdr>
                <w:top w:val="nil"/>
                <w:left w:val="nil"/>
                <w:bottom w:val="nil"/>
                <w:right w:val="nil"/>
                <w:between w:val="nil"/>
              </w:pBdr>
              <w:spacing w:after="200" w:line="276" w:lineRule="auto"/>
              <w:jc w:val="both"/>
              <w:rPr>
                <w:rFonts w:ascii="Arial" w:eastAsia="Arial" w:hAnsi="Arial" w:cs="Arial"/>
                <w:color w:val="000000"/>
                <w:sz w:val="24"/>
                <w:szCs w:val="24"/>
              </w:rPr>
            </w:pPr>
            <w:r w:rsidRPr="00F96617">
              <w:rPr>
                <w:rFonts w:ascii="Arial" w:eastAsia="Arial" w:hAnsi="Arial" w:cs="Arial"/>
                <w:color w:val="000000"/>
                <w:sz w:val="24"/>
                <w:szCs w:val="24"/>
              </w:rPr>
              <w:t>a public sector purchaser that is:</w:t>
            </w:r>
          </w:p>
          <w:p w14:paraId="040CCFB7" w14:textId="77777777" w:rsidR="005166B9" w:rsidRPr="00F96617" w:rsidRDefault="00FD4693">
            <w:pPr>
              <w:numPr>
                <w:ilvl w:val="0"/>
                <w:numId w:val="4"/>
              </w:numPr>
              <w:pBdr>
                <w:top w:val="nil"/>
                <w:left w:val="nil"/>
                <w:bottom w:val="nil"/>
                <w:right w:val="nil"/>
                <w:between w:val="nil"/>
              </w:pBdr>
              <w:tabs>
                <w:tab w:val="left" w:pos="-179"/>
                <w:tab w:val="left" w:pos="-9"/>
              </w:tabs>
              <w:spacing w:after="120"/>
              <w:ind w:left="388"/>
              <w:jc w:val="both"/>
              <w:rPr>
                <w:sz w:val="24"/>
                <w:szCs w:val="24"/>
              </w:rPr>
            </w:pPr>
            <w:r w:rsidRPr="00F96617">
              <w:rPr>
                <w:rFonts w:ascii="Arial" w:eastAsia="Arial" w:hAnsi="Arial" w:cs="Arial"/>
                <w:color w:val="000000"/>
                <w:sz w:val="24"/>
                <w:szCs w:val="24"/>
              </w:rPr>
              <w:t>eligible to use the Framework Contract; and</w:t>
            </w:r>
          </w:p>
          <w:p w14:paraId="7A89405F" w14:textId="77777777" w:rsidR="005166B9" w:rsidRPr="00F96617" w:rsidRDefault="00FD4693">
            <w:pPr>
              <w:numPr>
                <w:ilvl w:val="0"/>
                <w:numId w:val="4"/>
              </w:numPr>
              <w:pBdr>
                <w:top w:val="nil"/>
                <w:left w:val="nil"/>
                <w:bottom w:val="nil"/>
                <w:right w:val="nil"/>
                <w:between w:val="nil"/>
              </w:pBdr>
              <w:tabs>
                <w:tab w:val="left" w:pos="-179"/>
                <w:tab w:val="left" w:pos="-9"/>
              </w:tabs>
              <w:spacing w:after="120"/>
              <w:ind w:left="388"/>
              <w:jc w:val="both"/>
              <w:rPr>
                <w:sz w:val="24"/>
                <w:szCs w:val="24"/>
              </w:rPr>
            </w:pPr>
            <w:r w:rsidRPr="00F96617">
              <w:rPr>
                <w:rFonts w:ascii="Arial" w:eastAsia="Arial" w:hAnsi="Arial" w:cs="Arial"/>
                <w:color w:val="000000"/>
                <w:sz w:val="24"/>
                <w:szCs w:val="24"/>
              </w:rPr>
              <w:t>is entering into an Exempt Call-off Contract that is not subject to (as applicable) any of:</w:t>
            </w:r>
          </w:p>
          <w:p w14:paraId="7E7772BF" w14:textId="77777777" w:rsidR="005166B9" w:rsidRPr="00F96617" w:rsidRDefault="00FD4693">
            <w:pPr>
              <w:numPr>
                <w:ilvl w:val="1"/>
                <w:numId w:val="4"/>
              </w:numPr>
              <w:pBdr>
                <w:top w:val="nil"/>
                <w:left w:val="nil"/>
                <w:bottom w:val="nil"/>
                <w:right w:val="nil"/>
                <w:between w:val="nil"/>
              </w:pBdr>
              <w:tabs>
                <w:tab w:val="left" w:pos="-179"/>
                <w:tab w:val="left" w:pos="-9"/>
              </w:tabs>
              <w:spacing w:after="120"/>
              <w:ind w:left="814"/>
              <w:jc w:val="both"/>
              <w:rPr>
                <w:sz w:val="24"/>
                <w:szCs w:val="24"/>
              </w:rPr>
            </w:pPr>
            <w:r w:rsidRPr="00F96617">
              <w:rPr>
                <w:rFonts w:ascii="Arial" w:eastAsia="Arial" w:hAnsi="Arial" w:cs="Arial"/>
                <w:color w:val="000000"/>
                <w:sz w:val="24"/>
                <w:szCs w:val="24"/>
              </w:rPr>
              <w:t>the Regulations;</w:t>
            </w:r>
          </w:p>
          <w:p w14:paraId="4779FB81" w14:textId="77777777" w:rsidR="005166B9" w:rsidRPr="00F96617" w:rsidRDefault="00FD4693">
            <w:pPr>
              <w:numPr>
                <w:ilvl w:val="1"/>
                <w:numId w:val="4"/>
              </w:numPr>
              <w:pBdr>
                <w:top w:val="nil"/>
                <w:left w:val="nil"/>
                <w:bottom w:val="nil"/>
                <w:right w:val="nil"/>
                <w:between w:val="nil"/>
              </w:pBdr>
              <w:tabs>
                <w:tab w:val="left" w:pos="-179"/>
                <w:tab w:val="left" w:pos="-9"/>
              </w:tabs>
              <w:spacing w:after="120"/>
              <w:ind w:left="814"/>
              <w:jc w:val="both"/>
              <w:rPr>
                <w:sz w:val="24"/>
                <w:szCs w:val="24"/>
              </w:rPr>
            </w:pPr>
            <w:r w:rsidRPr="00F96617">
              <w:rPr>
                <w:rFonts w:ascii="Arial" w:eastAsia="Arial" w:hAnsi="Arial" w:cs="Arial"/>
                <w:color w:val="000000"/>
                <w:sz w:val="24"/>
                <w:szCs w:val="24"/>
              </w:rPr>
              <w:t>the Concession Contracts Regulations 2016 (SI 2016/273);</w:t>
            </w:r>
          </w:p>
          <w:p w14:paraId="2DB24FEB" w14:textId="77777777" w:rsidR="005166B9" w:rsidRPr="00F96617" w:rsidRDefault="00FD4693">
            <w:pPr>
              <w:numPr>
                <w:ilvl w:val="1"/>
                <w:numId w:val="4"/>
              </w:numPr>
              <w:pBdr>
                <w:top w:val="nil"/>
                <w:left w:val="nil"/>
                <w:bottom w:val="nil"/>
                <w:right w:val="nil"/>
                <w:between w:val="nil"/>
              </w:pBdr>
              <w:tabs>
                <w:tab w:val="left" w:pos="-179"/>
                <w:tab w:val="left" w:pos="-9"/>
              </w:tabs>
              <w:spacing w:after="120"/>
              <w:ind w:left="814"/>
              <w:jc w:val="both"/>
              <w:rPr>
                <w:sz w:val="24"/>
                <w:szCs w:val="24"/>
              </w:rPr>
            </w:pPr>
            <w:r w:rsidRPr="00F96617">
              <w:rPr>
                <w:rFonts w:ascii="Arial" w:eastAsia="Arial" w:hAnsi="Arial" w:cs="Arial"/>
                <w:color w:val="000000"/>
                <w:sz w:val="24"/>
                <w:szCs w:val="24"/>
              </w:rPr>
              <w:t>the Utilities Contracts Regulations 2016 (SI 2016/274);</w:t>
            </w:r>
          </w:p>
          <w:p w14:paraId="2CB0ABDC" w14:textId="77777777" w:rsidR="005166B9" w:rsidRPr="00F96617" w:rsidRDefault="00FD4693">
            <w:pPr>
              <w:numPr>
                <w:ilvl w:val="1"/>
                <w:numId w:val="4"/>
              </w:numPr>
              <w:pBdr>
                <w:top w:val="nil"/>
                <w:left w:val="nil"/>
                <w:bottom w:val="nil"/>
                <w:right w:val="nil"/>
                <w:between w:val="nil"/>
              </w:pBdr>
              <w:tabs>
                <w:tab w:val="left" w:pos="-179"/>
                <w:tab w:val="left" w:pos="-9"/>
              </w:tabs>
              <w:spacing w:after="120"/>
              <w:ind w:left="814"/>
              <w:jc w:val="both"/>
              <w:rPr>
                <w:sz w:val="24"/>
                <w:szCs w:val="24"/>
              </w:rPr>
            </w:pPr>
            <w:r w:rsidRPr="00F96617">
              <w:rPr>
                <w:rFonts w:ascii="Arial" w:eastAsia="Arial" w:hAnsi="Arial" w:cs="Arial"/>
                <w:color w:val="000000"/>
                <w:sz w:val="24"/>
                <w:szCs w:val="24"/>
              </w:rPr>
              <w:t>the Defence and Security Public Contracts Regulations 2011 (SI 2011/1848);</w:t>
            </w:r>
          </w:p>
          <w:p w14:paraId="10BDE753" w14:textId="77777777" w:rsidR="005166B9" w:rsidRPr="00F96617" w:rsidRDefault="00FD4693">
            <w:pPr>
              <w:numPr>
                <w:ilvl w:val="1"/>
                <w:numId w:val="4"/>
              </w:numPr>
              <w:pBdr>
                <w:top w:val="nil"/>
                <w:left w:val="nil"/>
                <w:bottom w:val="nil"/>
                <w:right w:val="nil"/>
                <w:between w:val="nil"/>
              </w:pBdr>
              <w:tabs>
                <w:tab w:val="left" w:pos="-179"/>
                <w:tab w:val="left" w:pos="-9"/>
              </w:tabs>
              <w:spacing w:after="120"/>
              <w:ind w:left="814"/>
              <w:jc w:val="both"/>
              <w:rPr>
                <w:sz w:val="24"/>
                <w:szCs w:val="24"/>
              </w:rPr>
            </w:pPr>
            <w:r w:rsidRPr="00F96617">
              <w:rPr>
                <w:rFonts w:ascii="Arial" w:eastAsia="Arial" w:hAnsi="Arial" w:cs="Arial"/>
                <w:color w:val="000000"/>
                <w:sz w:val="24"/>
                <w:szCs w:val="24"/>
              </w:rPr>
              <w:t>the Remedies Directive (2007/66/EC);</w:t>
            </w:r>
          </w:p>
          <w:p w14:paraId="60600ACE" w14:textId="77777777" w:rsidR="005166B9" w:rsidRPr="00F96617" w:rsidRDefault="00FD4693">
            <w:pPr>
              <w:numPr>
                <w:ilvl w:val="1"/>
                <w:numId w:val="4"/>
              </w:numPr>
              <w:pBdr>
                <w:top w:val="nil"/>
                <w:left w:val="nil"/>
                <w:bottom w:val="nil"/>
                <w:right w:val="nil"/>
                <w:between w:val="nil"/>
              </w:pBdr>
              <w:tabs>
                <w:tab w:val="left" w:pos="-179"/>
                <w:tab w:val="left" w:pos="-9"/>
              </w:tabs>
              <w:spacing w:after="120"/>
              <w:ind w:left="814"/>
              <w:jc w:val="both"/>
              <w:rPr>
                <w:sz w:val="24"/>
                <w:szCs w:val="24"/>
              </w:rPr>
            </w:pPr>
            <w:r w:rsidRPr="00F96617">
              <w:rPr>
                <w:rFonts w:ascii="Arial" w:eastAsia="Arial" w:hAnsi="Arial" w:cs="Arial"/>
                <w:color w:val="000000"/>
                <w:sz w:val="24"/>
                <w:szCs w:val="24"/>
              </w:rPr>
              <w:t>Directive 2014/23/EU of the European Parliament and Council;</w:t>
            </w:r>
          </w:p>
          <w:p w14:paraId="5F8B6EC1" w14:textId="77777777" w:rsidR="005166B9" w:rsidRPr="00F96617" w:rsidRDefault="00FD4693">
            <w:pPr>
              <w:numPr>
                <w:ilvl w:val="1"/>
                <w:numId w:val="4"/>
              </w:numPr>
              <w:pBdr>
                <w:top w:val="nil"/>
                <w:left w:val="nil"/>
                <w:bottom w:val="nil"/>
                <w:right w:val="nil"/>
                <w:between w:val="nil"/>
              </w:pBdr>
              <w:tabs>
                <w:tab w:val="left" w:pos="-179"/>
                <w:tab w:val="left" w:pos="-9"/>
              </w:tabs>
              <w:spacing w:after="120"/>
              <w:ind w:left="814"/>
              <w:jc w:val="both"/>
              <w:rPr>
                <w:sz w:val="24"/>
                <w:szCs w:val="24"/>
              </w:rPr>
            </w:pPr>
            <w:r w:rsidRPr="00F96617">
              <w:rPr>
                <w:rFonts w:ascii="Arial" w:eastAsia="Arial" w:hAnsi="Arial" w:cs="Arial"/>
                <w:color w:val="000000"/>
                <w:sz w:val="24"/>
                <w:szCs w:val="24"/>
              </w:rPr>
              <w:t>Directive 2014/24/EU of the European Parliament and Council;</w:t>
            </w:r>
          </w:p>
          <w:p w14:paraId="0324CDDD" w14:textId="77777777" w:rsidR="005166B9" w:rsidRPr="00F96617" w:rsidRDefault="00FD4693">
            <w:pPr>
              <w:numPr>
                <w:ilvl w:val="1"/>
                <w:numId w:val="4"/>
              </w:numPr>
              <w:pBdr>
                <w:top w:val="nil"/>
                <w:left w:val="nil"/>
                <w:bottom w:val="nil"/>
                <w:right w:val="nil"/>
                <w:between w:val="nil"/>
              </w:pBdr>
              <w:tabs>
                <w:tab w:val="left" w:pos="-179"/>
                <w:tab w:val="left" w:pos="-9"/>
              </w:tabs>
              <w:spacing w:after="120"/>
              <w:ind w:left="814"/>
              <w:jc w:val="both"/>
              <w:rPr>
                <w:sz w:val="24"/>
                <w:szCs w:val="24"/>
              </w:rPr>
            </w:pPr>
            <w:r w:rsidRPr="00F96617">
              <w:rPr>
                <w:rFonts w:ascii="Arial" w:eastAsia="Arial" w:hAnsi="Arial" w:cs="Arial"/>
                <w:color w:val="000000"/>
                <w:sz w:val="24"/>
                <w:szCs w:val="24"/>
              </w:rPr>
              <w:t>Directive 2014/25/EU of the European Parliament and Council; or</w:t>
            </w:r>
          </w:p>
          <w:p w14:paraId="35FA5268" w14:textId="77777777" w:rsidR="005166B9" w:rsidRPr="00A23894" w:rsidRDefault="00FD4693">
            <w:pPr>
              <w:numPr>
                <w:ilvl w:val="1"/>
                <w:numId w:val="4"/>
              </w:numPr>
              <w:pBdr>
                <w:top w:val="nil"/>
                <w:left w:val="nil"/>
                <w:bottom w:val="nil"/>
                <w:right w:val="nil"/>
                <w:between w:val="nil"/>
              </w:pBdr>
              <w:tabs>
                <w:tab w:val="left" w:pos="-179"/>
                <w:tab w:val="left" w:pos="-9"/>
              </w:tabs>
              <w:spacing w:after="120"/>
              <w:ind w:left="814"/>
              <w:jc w:val="both"/>
              <w:rPr>
                <w:rFonts w:ascii="Arial" w:eastAsia="Arial" w:hAnsi="Arial" w:cs="Arial"/>
                <w:color w:val="000000"/>
                <w:sz w:val="24"/>
                <w:szCs w:val="24"/>
              </w:rPr>
            </w:pPr>
            <w:r w:rsidRPr="00F96617">
              <w:rPr>
                <w:rFonts w:ascii="Arial" w:eastAsia="Arial" w:hAnsi="Arial" w:cs="Arial"/>
                <w:color w:val="000000"/>
                <w:sz w:val="24"/>
                <w:szCs w:val="24"/>
              </w:rPr>
              <w:t>Directive 2009/81/EC of the European Parliament and Council;</w:t>
            </w:r>
          </w:p>
        </w:tc>
      </w:tr>
      <w:tr w:rsidR="005166B9" w14:paraId="4A2698F8" w14:textId="77777777">
        <w:tc>
          <w:tcPr>
            <w:tcW w:w="24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7167ED5" w14:textId="77777777" w:rsidR="005166B9" w:rsidRPr="00A23894" w:rsidRDefault="00FD4693">
            <w:pPr>
              <w:pBdr>
                <w:top w:val="nil"/>
                <w:left w:val="nil"/>
                <w:bottom w:val="nil"/>
                <w:right w:val="nil"/>
                <w:between w:val="nil"/>
              </w:pBdr>
              <w:spacing w:after="120"/>
              <w:ind w:left="-108"/>
              <w:rPr>
                <w:rFonts w:ascii="Arial" w:eastAsia="Arial" w:hAnsi="Arial" w:cs="Arial"/>
                <w:b/>
                <w:color w:val="000000"/>
                <w:sz w:val="24"/>
                <w:szCs w:val="24"/>
              </w:rPr>
            </w:pPr>
            <w:r w:rsidRPr="00F96617">
              <w:rPr>
                <w:rFonts w:ascii="Arial" w:eastAsia="Arial" w:hAnsi="Arial" w:cs="Arial"/>
                <w:sz w:val="24"/>
                <w:szCs w:val="24"/>
              </w:rPr>
              <w:t>“</w:t>
            </w:r>
            <w:r w:rsidRPr="00F96617">
              <w:rPr>
                <w:rFonts w:ascii="Arial" w:eastAsia="Arial" w:hAnsi="Arial" w:cs="Arial"/>
                <w:b/>
                <w:sz w:val="24"/>
                <w:szCs w:val="24"/>
              </w:rPr>
              <w:t>Exempt Call-off Contract</w:t>
            </w:r>
            <w:r w:rsidRPr="00F96617">
              <w:rPr>
                <w:rFonts w:ascii="Arial" w:eastAsia="Arial" w:hAnsi="Arial" w:cs="Arial"/>
                <w:sz w:val="24"/>
                <w:szCs w:val="24"/>
              </w:rPr>
              <w:t>”</w:t>
            </w:r>
          </w:p>
        </w:tc>
        <w:tc>
          <w:tcPr>
            <w:tcW w:w="73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50C7664" w14:textId="77777777" w:rsidR="005166B9" w:rsidRPr="00F96617" w:rsidRDefault="00FD4693">
            <w:pPr>
              <w:pBdr>
                <w:top w:val="nil"/>
                <w:left w:val="nil"/>
                <w:bottom w:val="nil"/>
                <w:right w:val="nil"/>
                <w:between w:val="nil"/>
              </w:pBdr>
              <w:spacing w:after="200" w:line="276" w:lineRule="auto"/>
              <w:jc w:val="both"/>
              <w:rPr>
                <w:rFonts w:ascii="Arial" w:eastAsia="Arial" w:hAnsi="Arial" w:cs="Arial"/>
                <w:color w:val="000000"/>
                <w:sz w:val="24"/>
                <w:szCs w:val="24"/>
              </w:rPr>
            </w:pPr>
            <w:r w:rsidRPr="00F96617">
              <w:rPr>
                <w:rFonts w:ascii="Arial" w:eastAsia="Arial" w:hAnsi="Arial" w:cs="Arial"/>
                <w:color w:val="000000"/>
                <w:sz w:val="24"/>
                <w:szCs w:val="24"/>
              </w:rPr>
              <w:t>the contract between the Exempt Buyer and the Supplier for Deliverables which consists of the terms set out and referred to in the Order Form incorporating and, where necessary, amending, refining or adding to the terms of the Framework Contract;</w:t>
            </w:r>
          </w:p>
        </w:tc>
      </w:tr>
      <w:tr w:rsidR="005166B9" w14:paraId="5BEB9ED6" w14:textId="77777777">
        <w:tc>
          <w:tcPr>
            <w:tcW w:w="24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C7363D" w14:textId="77777777" w:rsidR="005166B9" w:rsidRPr="00A23894" w:rsidRDefault="00FD4693">
            <w:pPr>
              <w:pBdr>
                <w:top w:val="nil"/>
                <w:left w:val="nil"/>
                <w:bottom w:val="nil"/>
                <w:right w:val="nil"/>
                <w:between w:val="nil"/>
              </w:pBdr>
              <w:spacing w:after="120"/>
              <w:ind w:left="-108"/>
              <w:rPr>
                <w:rFonts w:ascii="Arial" w:eastAsia="Arial" w:hAnsi="Arial" w:cs="Arial"/>
                <w:b/>
                <w:color w:val="000000"/>
                <w:sz w:val="24"/>
                <w:szCs w:val="24"/>
              </w:rPr>
            </w:pPr>
            <w:r w:rsidRPr="00F96617">
              <w:rPr>
                <w:rFonts w:ascii="Arial" w:eastAsia="Arial" w:hAnsi="Arial" w:cs="Arial"/>
                <w:sz w:val="24"/>
                <w:szCs w:val="24"/>
              </w:rPr>
              <w:t>“</w:t>
            </w:r>
            <w:r w:rsidRPr="00F96617">
              <w:rPr>
                <w:rFonts w:ascii="Arial" w:eastAsia="Arial" w:hAnsi="Arial" w:cs="Arial"/>
                <w:b/>
                <w:sz w:val="24"/>
                <w:szCs w:val="24"/>
              </w:rPr>
              <w:t>Exempt Procurement Amendments</w:t>
            </w:r>
            <w:r w:rsidRPr="00F96617">
              <w:rPr>
                <w:rFonts w:ascii="Arial" w:eastAsia="Arial" w:hAnsi="Arial" w:cs="Arial"/>
                <w:sz w:val="24"/>
                <w:szCs w:val="24"/>
              </w:rPr>
              <w:t>”</w:t>
            </w:r>
          </w:p>
        </w:tc>
        <w:tc>
          <w:tcPr>
            <w:tcW w:w="73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789B54" w14:textId="77777777" w:rsidR="005166B9" w:rsidRPr="00F96617" w:rsidRDefault="00FD4693">
            <w:pPr>
              <w:pBdr>
                <w:top w:val="nil"/>
                <w:left w:val="nil"/>
                <w:bottom w:val="nil"/>
                <w:right w:val="nil"/>
                <w:between w:val="nil"/>
              </w:pBdr>
              <w:spacing w:after="200" w:line="276" w:lineRule="auto"/>
              <w:jc w:val="both"/>
              <w:rPr>
                <w:rFonts w:ascii="Arial" w:eastAsia="Arial" w:hAnsi="Arial" w:cs="Arial"/>
                <w:color w:val="000000"/>
                <w:sz w:val="24"/>
                <w:szCs w:val="24"/>
              </w:rPr>
            </w:pPr>
            <w:r w:rsidRPr="00F96617">
              <w:rPr>
                <w:rFonts w:ascii="Arial" w:eastAsia="Arial" w:hAnsi="Arial" w:cs="Arial"/>
                <w:color w:val="000000"/>
                <w:sz w:val="24"/>
                <w:szCs w:val="24"/>
              </w:rPr>
              <w:t>any amendments, refinements or additions to any of the terms of the Framework Contract made through the Exempt Call-off Contract to reflect the specific needs of an Exempt Buyer to the extent permitted by and in accordance with any legal requirements applicable to that Exempt Buyer;</w:t>
            </w:r>
          </w:p>
        </w:tc>
      </w:tr>
    </w:tbl>
    <w:p w14:paraId="79394FDB" w14:textId="77777777" w:rsidR="005166B9" w:rsidRDefault="005166B9">
      <w:pPr>
        <w:widowControl w:val="0"/>
        <w:pBdr>
          <w:top w:val="nil"/>
          <w:left w:val="nil"/>
          <w:bottom w:val="nil"/>
          <w:right w:val="nil"/>
          <w:between w:val="nil"/>
        </w:pBdr>
        <w:spacing w:after="0"/>
        <w:rPr>
          <w:rFonts w:ascii="Arial" w:eastAsia="Arial" w:hAnsi="Arial" w:cs="Arial"/>
          <w:color w:val="000000"/>
        </w:rPr>
      </w:pPr>
    </w:p>
    <w:tbl>
      <w:tblPr>
        <w:tblStyle w:val="a4"/>
        <w:tblW w:w="99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445"/>
        <w:gridCol w:w="7515"/>
      </w:tblGrid>
      <w:tr w:rsidR="005166B9" w14:paraId="69FEE6B7" w14:textId="77777777">
        <w:tc>
          <w:tcPr>
            <w:tcW w:w="2445" w:type="dxa"/>
          </w:tcPr>
          <w:p w14:paraId="26B975C7" w14:textId="77777777" w:rsidR="005166B9" w:rsidRDefault="00FD469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"Existing IPR"</w:t>
            </w:r>
          </w:p>
        </w:tc>
        <w:tc>
          <w:tcPr>
            <w:tcW w:w="7515" w:type="dxa"/>
          </w:tcPr>
          <w:p w14:paraId="33E81874" w14:textId="77777777" w:rsidR="005166B9" w:rsidRDefault="00FD469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and all IPR that are owned by or licensed to either Party and which are or have been developed independently of the Contract (whether prior to the Start Date or otherwise);</w:t>
            </w:r>
          </w:p>
        </w:tc>
      </w:tr>
      <w:tr w:rsidR="005166B9" w14:paraId="2AE1A39D" w14:textId="77777777">
        <w:tc>
          <w:tcPr>
            <w:tcW w:w="2445" w:type="dxa"/>
          </w:tcPr>
          <w:p w14:paraId="72E5ECBE" w14:textId="77777777" w:rsidR="005166B9" w:rsidRDefault="00FD469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“Exit Day”</w:t>
            </w:r>
          </w:p>
        </w:tc>
        <w:tc>
          <w:tcPr>
            <w:tcW w:w="7515" w:type="dxa"/>
          </w:tcPr>
          <w:p w14:paraId="79B8354C" w14:textId="77777777" w:rsidR="005166B9" w:rsidRDefault="00FD469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shall have the meaning in the European Union (Withdrawal) Act 2018;</w:t>
            </w:r>
          </w:p>
        </w:tc>
      </w:tr>
      <w:tr w:rsidR="005166B9" w14:paraId="46495A4F" w14:textId="77777777">
        <w:tc>
          <w:tcPr>
            <w:tcW w:w="2445" w:type="dxa"/>
          </w:tcPr>
          <w:p w14:paraId="2D4E9361" w14:textId="77777777" w:rsidR="005166B9" w:rsidRDefault="00FD469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"Expiry Date"</w:t>
            </w:r>
          </w:p>
        </w:tc>
        <w:tc>
          <w:tcPr>
            <w:tcW w:w="7515" w:type="dxa"/>
          </w:tcPr>
          <w:p w14:paraId="3A78C5CF" w14:textId="77777777" w:rsidR="005166B9" w:rsidRDefault="00FD4693">
            <w:pPr>
              <w:pBdr>
                <w:top w:val="nil"/>
                <w:left w:val="nil"/>
                <w:bottom w:val="nil"/>
                <w:right w:val="nil"/>
                <w:between w:val="nil"/>
              </w:pBdr>
              <w:tabs>
                <w:tab w:val="left" w:pos="-576"/>
                <w:tab w:val="left" w:pos="144"/>
              </w:tabs>
              <w:spacing w:after="120"/>
              <w:ind w:left="144"/>
              <w:jc w:val="both"/>
              <w:rPr>
                <w:rFonts w:ascii="Arial" w:eastAsia="Arial" w:hAnsi="Arial" w:cs="Arial"/>
                <w:color w:val="000000"/>
                <w:sz w:val="24"/>
                <w:szCs w:val="24"/>
              </w:rPr>
            </w:pPr>
            <w:r>
              <w:rPr>
                <w:rFonts w:ascii="Arial" w:eastAsia="Arial" w:hAnsi="Arial" w:cs="Arial"/>
                <w:color w:val="000000"/>
                <w:sz w:val="24"/>
                <w:szCs w:val="24"/>
              </w:rPr>
              <w:t xml:space="preserve">the Framework Expiry Date or the Call-Off Expiry Date (as the context dictates); </w:t>
            </w:r>
          </w:p>
        </w:tc>
      </w:tr>
      <w:tr w:rsidR="005166B9" w14:paraId="28EF60FF" w14:textId="77777777">
        <w:tc>
          <w:tcPr>
            <w:tcW w:w="2445" w:type="dxa"/>
          </w:tcPr>
          <w:p w14:paraId="071A66D0" w14:textId="77777777" w:rsidR="005166B9" w:rsidRDefault="00FD469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"Extension Period"</w:t>
            </w:r>
          </w:p>
        </w:tc>
        <w:tc>
          <w:tcPr>
            <w:tcW w:w="7515" w:type="dxa"/>
          </w:tcPr>
          <w:p w14:paraId="1AE6F270" w14:textId="77777777" w:rsidR="005166B9" w:rsidRDefault="00FD469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Framework Optional Extension Period or the Call-Off Optional Extension Period as the context dictates;</w:t>
            </w:r>
          </w:p>
        </w:tc>
      </w:tr>
      <w:tr w:rsidR="005166B9" w14:paraId="73B76C6E" w14:textId="77777777">
        <w:tc>
          <w:tcPr>
            <w:tcW w:w="2445" w:type="dxa"/>
          </w:tcPr>
          <w:p w14:paraId="0268D3DB" w14:textId="77777777" w:rsidR="005166B9" w:rsidRDefault="00FD469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"FOIA"</w:t>
            </w:r>
          </w:p>
        </w:tc>
        <w:tc>
          <w:tcPr>
            <w:tcW w:w="7515" w:type="dxa"/>
          </w:tcPr>
          <w:p w14:paraId="0A943B66" w14:textId="77777777" w:rsidR="005166B9" w:rsidRDefault="00FD469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Freedom of Information Act 2000 and any subordinate legislation made under that Act from time to time together with any guidance and/or codes of practice issued by the Information Commissioner or relevant Government department in relation to such legislation;</w:t>
            </w:r>
          </w:p>
        </w:tc>
      </w:tr>
      <w:tr w:rsidR="005166B9" w14:paraId="0D1A4C68" w14:textId="77777777">
        <w:tc>
          <w:tcPr>
            <w:tcW w:w="2445" w:type="dxa"/>
          </w:tcPr>
          <w:p w14:paraId="5EC7A785" w14:textId="77777777" w:rsidR="005166B9" w:rsidRDefault="00FD469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"Force Majeure Event"</w:t>
            </w:r>
          </w:p>
        </w:tc>
        <w:tc>
          <w:tcPr>
            <w:tcW w:w="7515" w:type="dxa"/>
          </w:tcPr>
          <w:p w14:paraId="2C7275B4" w14:textId="77777777" w:rsidR="005166B9" w:rsidRDefault="00FD469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event outside the reasonable control of either Party affecting its performance of its obligations under the Contract arising from acts, events, omissions, happenings or non-happenings beyond its reasonable control and which are not attributable to any wilful act, neglect or failure to take reasonable preventative action by that Party, including:</w:t>
            </w:r>
          </w:p>
          <w:p w14:paraId="3E1A52CE" w14:textId="77777777" w:rsidR="005166B9" w:rsidRDefault="00FD4693">
            <w:pPr>
              <w:numPr>
                <w:ilvl w:val="1"/>
                <w:numId w:val="2"/>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riots, civil commotion, war or armed conflict;</w:t>
            </w:r>
          </w:p>
          <w:p w14:paraId="12E78F91" w14:textId="77777777" w:rsidR="005166B9" w:rsidRDefault="00FD4693">
            <w:pPr>
              <w:numPr>
                <w:ilvl w:val="1"/>
                <w:numId w:val="2"/>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acts of terrorism;</w:t>
            </w:r>
          </w:p>
          <w:p w14:paraId="587B6246" w14:textId="77777777" w:rsidR="005166B9" w:rsidRDefault="00FD4693">
            <w:pPr>
              <w:numPr>
                <w:ilvl w:val="1"/>
                <w:numId w:val="2"/>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acts of government, local government or regulatory bodies;</w:t>
            </w:r>
          </w:p>
          <w:p w14:paraId="107604E7" w14:textId="77777777" w:rsidR="005166B9" w:rsidRDefault="00FD4693">
            <w:pPr>
              <w:numPr>
                <w:ilvl w:val="1"/>
                <w:numId w:val="2"/>
              </w:numPr>
              <w:pBdr>
                <w:top w:val="nil"/>
                <w:left w:val="nil"/>
                <w:bottom w:val="nil"/>
                <w:right w:val="nil"/>
                <w:between w:val="nil"/>
              </w:pBdr>
              <w:tabs>
                <w:tab w:val="left" w:pos="-576"/>
                <w:tab w:val="left" w:pos="144"/>
              </w:tabs>
              <w:spacing w:after="120"/>
              <w:ind w:left="576" w:hanging="432"/>
              <w:jc w:val="both"/>
              <w:rPr>
                <w:rFonts w:ascii="Arial" w:eastAsia="Arial" w:hAnsi="Arial" w:cs="Arial"/>
                <w:color w:val="000000"/>
                <w:sz w:val="24"/>
                <w:szCs w:val="24"/>
              </w:rPr>
            </w:pPr>
            <w:r>
              <w:rPr>
                <w:rFonts w:ascii="Arial" w:eastAsia="Arial" w:hAnsi="Arial" w:cs="Arial"/>
                <w:color w:val="000000"/>
                <w:sz w:val="24"/>
                <w:szCs w:val="24"/>
              </w:rPr>
              <w:t>fire, flood, storm or earthquake or other natural disaster,</w:t>
            </w:r>
          </w:p>
          <w:p w14:paraId="1AA6D3DC" w14:textId="77777777" w:rsidR="005166B9" w:rsidRDefault="00FD469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but excluding any industrial dispute relating to the Supplier, the Supplier Staff or any other failure in the Supplier or the Subcontractor's supply chain;</w:t>
            </w:r>
          </w:p>
        </w:tc>
      </w:tr>
      <w:tr w:rsidR="005166B9" w14:paraId="5249775F" w14:textId="77777777">
        <w:tc>
          <w:tcPr>
            <w:tcW w:w="2445" w:type="dxa"/>
          </w:tcPr>
          <w:p w14:paraId="44F1EF13" w14:textId="77777777" w:rsidR="005166B9" w:rsidRDefault="00FD469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"Force Majeure Notice"</w:t>
            </w:r>
          </w:p>
        </w:tc>
        <w:tc>
          <w:tcPr>
            <w:tcW w:w="7515" w:type="dxa"/>
          </w:tcPr>
          <w:p w14:paraId="106D75B6" w14:textId="77777777" w:rsidR="005166B9" w:rsidRDefault="00FD469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 written notice served by the Affected Party on the other Party stating that the Affected Party believes that there is a Force Majeure Event;</w:t>
            </w:r>
          </w:p>
        </w:tc>
      </w:tr>
      <w:tr w:rsidR="005166B9" w14:paraId="76D9E7D9" w14:textId="77777777">
        <w:tc>
          <w:tcPr>
            <w:tcW w:w="2445" w:type="dxa"/>
          </w:tcPr>
          <w:p w14:paraId="67755073" w14:textId="77777777" w:rsidR="005166B9" w:rsidRDefault="00FD469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"Framework Award Form"</w:t>
            </w:r>
          </w:p>
        </w:tc>
        <w:tc>
          <w:tcPr>
            <w:tcW w:w="7515" w:type="dxa"/>
          </w:tcPr>
          <w:p w14:paraId="1A9C3CEC" w14:textId="77777777" w:rsidR="005166B9" w:rsidRDefault="00FD469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document outlining the Framework Incorporated Terms and crucial information required for the Framework Contract, to be executed by the Supplier and CCS;</w:t>
            </w:r>
          </w:p>
        </w:tc>
      </w:tr>
      <w:tr w:rsidR="005166B9" w14:paraId="0D173A73" w14:textId="77777777">
        <w:tc>
          <w:tcPr>
            <w:tcW w:w="2445" w:type="dxa"/>
          </w:tcPr>
          <w:p w14:paraId="20A05FED" w14:textId="77777777" w:rsidR="005166B9" w:rsidRDefault="00FD469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"Framework Contract"</w:t>
            </w:r>
          </w:p>
        </w:tc>
        <w:tc>
          <w:tcPr>
            <w:tcW w:w="7515" w:type="dxa"/>
          </w:tcPr>
          <w:p w14:paraId="438CD6BF" w14:textId="77777777" w:rsidR="005166B9" w:rsidRDefault="00FD469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framework agreement established between CCS and the Supplier in accordance with Regulation 33 by the Framework Award Form for the provision of the Deliverables to Buyers by the Supplier pursuant to the notice published on the Find a Tender Service;</w:t>
            </w:r>
          </w:p>
        </w:tc>
      </w:tr>
      <w:tr w:rsidR="005166B9" w14:paraId="05661875" w14:textId="77777777">
        <w:tc>
          <w:tcPr>
            <w:tcW w:w="2445" w:type="dxa"/>
          </w:tcPr>
          <w:p w14:paraId="4F2A182E" w14:textId="77777777" w:rsidR="005166B9" w:rsidRDefault="00FD469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"Framework Contract Period"</w:t>
            </w:r>
          </w:p>
        </w:tc>
        <w:tc>
          <w:tcPr>
            <w:tcW w:w="7515" w:type="dxa"/>
          </w:tcPr>
          <w:p w14:paraId="1CEE84B7" w14:textId="77777777" w:rsidR="005166B9" w:rsidRDefault="00FD469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period from the Framework Start Date until the End Date of the Framework Contract;</w:t>
            </w:r>
          </w:p>
        </w:tc>
      </w:tr>
      <w:tr w:rsidR="005166B9" w14:paraId="6594D38D" w14:textId="77777777">
        <w:tc>
          <w:tcPr>
            <w:tcW w:w="2445" w:type="dxa"/>
          </w:tcPr>
          <w:p w14:paraId="38C4E7EB" w14:textId="77777777" w:rsidR="005166B9" w:rsidRDefault="00FD469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"Framework Expiry Date"</w:t>
            </w:r>
          </w:p>
        </w:tc>
        <w:tc>
          <w:tcPr>
            <w:tcW w:w="7515" w:type="dxa"/>
          </w:tcPr>
          <w:p w14:paraId="7501EAAD" w14:textId="77777777" w:rsidR="005166B9" w:rsidRDefault="00FD469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scheduled date of the end of the Framework Contract as stated in the Framework Award Form;</w:t>
            </w:r>
          </w:p>
        </w:tc>
      </w:tr>
      <w:tr w:rsidR="005166B9" w14:paraId="16281471" w14:textId="77777777">
        <w:tc>
          <w:tcPr>
            <w:tcW w:w="2445" w:type="dxa"/>
          </w:tcPr>
          <w:p w14:paraId="1984A6DC" w14:textId="77777777" w:rsidR="005166B9" w:rsidRDefault="00FD469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"Framework Incorporated Terms"</w:t>
            </w:r>
          </w:p>
        </w:tc>
        <w:tc>
          <w:tcPr>
            <w:tcW w:w="7515" w:type="dxa"/>
          </w:tcPr>
          <w:p w14:paraId="11020936" w14:textId="77777777" w:rsidR="005166B9" w:rsidRDefault="00FD469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contractual terms applicable to the Framework Contract specified in the Framework Award Form;</w:t>
            </w:r>
          </w:p>
        </w:tc>
      </w:tr>
      <w:tr w:rsidR="005166B9" w14:paraId="349A77D5" w14:textId="77777777">
        <w:tc>
          <w:tcPr>
            <w:tcW w:w="2445" w:type="dxa"/>
          </w:tcPr>
          <w:p w14:paraId="1AA4F2E4" w14:textId="77777777" w:rsidR="005166B9" w:rsidRDefault="00FD469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"Framework Optional Extension Period"</w:t>
            </w:r>
          </w:p>
        </w:tc>
        <w:tc>
          <w:tcPr>
            <w:tcW w:w="7515" w:type="dxa"/>
          </w:tcPr>
          <w:p w14:paraId="4506E560" w14:textId="77777777" w:rsidR="005166B9" w:rsidRDefault="00FD469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such period or periods beyond which the Framework Contract Period may be extended as specified in the Framework Award Form;</w:t>
            </w:r>
          </w:p>
        </w:tc>
      </w:tr>
      <w:tr w:rsidR="005166B9" w14:paraId="41FBA38C" w14:textId="77777777">
        <w:tc>
          <w:tcPr>
            <w:tcW w:w="2445" w:type="dxa"/>
          </w:tcPr>
          <w:p w14:paraId="24F3E5B2" w14:textId="77777777" w:rsidR="005166B9" w:rsidRDefault="00FD4693">
            <w:pPr>
              <w:keepNext/>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"Framework Price(s)"</w:t>
            </w:r>
          </w:p>
        </w:tc>
        <w:tc>
          <w:tcPr>
            <w:tcW w:w="7515" w:type="dxa"/>
          </w:tcPr>
          <w:p w14:paraId="3BBFA3CC" w14:textId="77777777" w:rsidR="005166B9" w:rsidRDefault="00FD469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price(s) applicable to the provision of the Deliverables set out in Framework Schedule 3 (Framework Prices);</w:t>
            </w:r>
          </w:p>
        </w:tc>
      </w:tr>
      <w:tr w:rsidR="005166B9" w14:paraId="0410C40C" w14:textId="77777777">
        <w:tc>
          <w:tcPr>
            <w:tcW w:w="2445" w:type="dxa"/>
          </w:tcPr>
          <w:p w14:paraId="6DBE14EA" w14:textId="77777777" w:rsidR="005166B9" w:rsidRDefault="00FD469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"Framework Special Terms"</w:t>
            </w:r>
          </w:p>
        </w:tc>
        <w:tc>
          <w:tcPr>
            <w:tcW w:w="7515" w:type="dxa"/>
          </w:tcPr>
          <w:p w14:paraId="303533CB" w14:textId="77777777" w:rsidR="005166B9" w:rsidRDefault="00FD469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additional terms and conditions specified in the Framework Award Form incorporated into the Framework Contract;</w:t>
            </w:r>
          </w:p>
        </w:tc>
      </w:tr>
      <w:tr w:rsidR="005166B9" w14:paraId="39FCB36A" w14:textId="77777777">
        <w:tc>
          <w:tcPr>
            <w:tcW w:w="2445" w:type="dxa"/>
          </w:tcPr>
          <w:p w14:paraId="123DB6E9" w14:textId="77777777" w:rsidR="005166B9" w:rsidRDefault="00FD469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"Framework Start Date"</w:t>
            </w:r>
          </w:p>
        </w:tc>
        <w:tc>
          <w:tcPr>
            <w:tcW w:w="7515" w:type="dxa"/>
          </w:tcPr>
          <w:p w14:paraId="649EC51C" w14:textId="77777777" w:rsidR="005166B9" w:rsidRDefault="00FD469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date of start of the Framework Contract as stated in the Framework Award Form;</w:t>
            </w:r>
          </w:p>
        </w:tc>
      </w:tr>
      <w:tr w:rsidR="005166B9" w14:paraId="3A615149" w14:textId="77777777">
        <w:tc>
          <w:tcPr>
            <w:tcW w:w="2445" w:type="dxa"/>
          </w:tcPr>
          <w:p w14:paraId="2E7BC718" w14:textId="77777777" w:rsidR="005166B9" w:rsidRDefault="00FD469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"Framework Tender Response"</w:t>
            </w:r>
          </w:p>
        </w:tc>
        <w:tc>
          <w:tcPr>
            <w:tcW w:w="7515" w:type="dxa"/>
          </w:tcPr>
          <w:p w14:paraId="5D91B889" w14:textId="77777777" w:rsidR="005166B9" w:rsidRDefault="00FD469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tender submitted by the Supplier to CCS and annexed to or referred to in Framework Schedule 2 (Framework Tender);</w:t>
            </w:r>
          </w:p>
        </w:tc>
      </w:tr>
      <w:tr w:rsidR="005166B9" w14:paraId="4CDC3BB9" w14:textId="77777777">
        <w:tc>
          <w:tcPr>
            <w:tcW w:w="2445" w:type="dxa"/>
          </w:tcPr>
          <w:p w14:paraId="42783E7A" w14:textId="77777777" w:rsidR="005166B9" w:rsidRDefault="00FD469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"Further Competition Procedure"</w:t>
            </w:r>
          </w:p>
        </w:tc>
        <w:tc>
          <w:tcPr>
            <w:tcW w:w="7515" w:type="dxa"/>
          </w:tcPr>
          <w:p w14:paraId="1A01A9CF" w14:textId="77777777" w:rsidR="005166B9" w:rsidRDefault="00FD469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further competition procedure described in Framework Schedule 7 (Call-Off Award Procedure);</w:t>
            </w:r>
          </w:p>
        </w:tc>
      </w:tr>
      <w:tr w:rsidR="005166B9" w14:paraId="09C9994B" w14:textId="77777777">
        <w:tc>
          <w:tcPr>
            <w:tcW w:w="2445" w:type="dxa"/>
          </w:tcPr>
          <w:p w14:paraId="37EBF3A9" w14:textId="77777777" w:rsidR="005166B9" w:rsidRDefault="00FD469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"UK GDPR"</w:t>
            </w:r>
          </w:p>
        </w:tc>
        <w:tc>
          <w:tcPr>
            <w:tcW w:w="7515" w:type="dxa"/>
          </w:tcPr>
          <w:p w14:paraId="71EF70DC" w14:textId="77777777" w:rsidR="005166B9" w:rsidRDefault="00FD469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retained EU law version of the General Data Protection Regulation (Regulation (EU) 2016/679);</w:t>
            </w:r>
          </w:p>
        </w:tc>
      </w:tr>
      <w:tr w:rsidR="005166B9" w14:paraId="37812DF7" w14:textId="77777777">
        <w:tc>
          <w:tcPr>
            <w:tcW w:w="2445" w:type="dxa"/>
          </w:tcPr>
          <w:p w14:paraId="160A7EFB" w14:textId="77777777" w:rsidR="005166B9" w:rsidRDefault="00FD469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"General Anti-Abuse Rule"</w:t>
            </w:r>
          </w:p>
        </w:tc>
        <w:tc>
          <w:tcPr>
            <w:tcW w:w="7515" w:type="dxa"/>
          </w:tcPr>
          <w:p w14:paraId="2BB62785" w14:textId="77777777" w:rsidR="005166B9" w:rsidRDefault="00FD4693">
            <w:pPr>
              <w:numPr>
                <w:ilvl w:val="1"/>
                <w:numId w:val="12"/>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 xml:space="preserve">the legislation in Part 5 of the Finance Act 2013 and; and </w:t>
            </w:r>
          </w:p>
          <w:p w14:paraId="0616E5F9" w14:textId="77777777" w:rsidR="005166B9" w:rsidRDefault="00FD4693">
            <w:pPr>
              <w:numPr>
                <w:ilvl w:val="1"/>
                <w:numId w:val="12"/>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any future legislation introduced into parliament to counteract Tax advantages arising from abusive arrangements to avoid National Insurance contributions;</w:t>
            </w:r>
          </w:p>
        </w:tc>
      </w:tr>
      <w:tr w:rsidR="005166B9" w14:paraId="7F51D968" w14:textId="77777777">
        <w:tc>
          <w:tcPr>
            <w:tcW w:w="2445" w:type="dxa"/>
          </w:tcPr>
          <w:p w14:paraId="71CD3285" w14:textId="77777777" w:rsidR="005166B9" w:rsidRDefault="00FD469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"General Change in Law"</w:t>
            </w:r>
          </w:p>
        </w:tc>
        <w:tc>
          <w:tcPr>
            <w:tcW w:w="7515" w:type="dxa"/>
          </w:tcPr>
          <w:p w14:paraId="681817B1" w14:textId="77777777" w:rsidR="005166B9" w:rsidRDefault="00FD469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 Change in Law where the change is of a general legislative nature (including Tax or duties of any sort affecting the Supplier) or which affects or relates to a Comparable Supply;</w:t>
            </w:r>
          </w:p>
        </w:tc>
      </w:tr>
      <w:tr w:rsidR="005166B9" w14:paraId="501A54F7" w14:textId="77777777">
        <w:tc>
          <w:tcPr>
            <w:tcW w:w="2445" w:type="dxa"/>
          </w:tcPr>
          <w:p w14:paraId="020E7182" w14:textId="77777777" w:rsidR="005166B9" w:rsidRDefault="00FD469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"Goods"</w:t>
            </w:r>
          </w:p>
        </w:tc>
        <w:tc>
          <w:tcPr>
            <w:tcW w:w="7515" w:type="dxa"/>
          </w:tcPr>
          <w:p w14:paraId="7F252C1D" w14:textId="77777777" w:rsidR="005166B9" w:rsidRDefault="00FD469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goods made available by the Supplier as specified in Framework Schedule 1 (Specification) and in relation to a Call-Off Contract as specified in the Order </w:t>
            </w:r>
            <w:proofErr w:type="gramStart"/>
            <w:r>
              <w:rPr>
                <w:rFonts w:ascii="Arial" w:eastAsia="Arial" w:hAnsi="Arial" w:cs="Arial"/>
                <w:color w:val="000000"/>
                <w:sz w:val="24"/>
                <w:szCs w:val="24"/>
              </w:rPr>
              <w:t>Form ;</w:t>
            </w:r>
            <w:proofErr w:type="gramEnd"/>
          </w:p>
        </w:tc>
      </w:tr>
      <w:tr w:rsidR="005166B9" w14:paraId="6347E239" w14:textId="77777777">
        <w:tc>
          <w:tcPr>
            <w:tcW w:w="2445" w:type="dxa"/>
          </w:tcPr>
          <w:p w14:paraId="1D3A5F06" w14:textId="77777777" w:rsidR="005166B9" w:rsidRDefault="00FD469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"Good Industry Practice"</w:t>
            </w:r>
          </w:p>
        </w:tc>
        <w:tc>
          <w:tcPr>
            <w:tcW w:w="7515" w:type="dxa"/>
          </w:tcPr>
          <w:p w14:paraId="635C341B" w14:textId="77777777" w:rsidR="005166B9" w:rsidRDefault="00FD469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standards, practices, methods and procedures conforming to the Law and the exercise of the degree of skill and care, diligence, prudence and foresight which would reasonably and ordinarily be expected from a skilled and experienced person or body engaged within the relevant industry or business sector;</w:t>
            </w:r>
          </w:p>
        </w:tc>
      </w:tr>
      <w:tr w:rsidR="005166B9" w14:paraId="11B69E5A" w14:textId="77777777">
        <w:tc>
          <w:tcPr>
            <w:tcW w:w="2445" w:type="dxa"/>
          </w:tcPr>
          <w:p w14:paraId="57BE8C8E" w14:textId="77777777" w:rsidR="005166B9" w:rsidRDefault="00FD469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"Government"</w:t>
            </w:r>
          </w:p>
        </w:tc>
        <w:tc>
          <w:tcPr>
            <w:tcW w:w="7515" w:type="dxa"/>
          </w:tcPr>
          <w:p w14:paraId="44231A59" w14:textId="77777777" w:rsidR="005166B9" w:rsidRDefault="00FD469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government of the United Kingdom (including the Northern Ireland Assembly and Executive Committee, the Scottish Government and the National Assembly for Wales), including government ministers and government departments and other bodies, persons, commissions or agencies from time to time carrying out functions on its behalf;</w:t>
            </w:r>
          </w:p>
        </w:tc>
      </w:tr>
      <w:tr w:rsidR="005166B9" w14:paraId="5C13F374" w14:textId="77777777">
        <w:tc>
          <w:tcPr>
            <w:tcW w:w="2445" w:type="dxa"/>
          </w:tcPr>
          <w:p w14:paraId="25E5AA41" w14:textId="77777777" w:rsidR="005166B9" w:rsidRDefault="00FD469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"Government Data"</w:t>
            </w:r>
          </w:p>
        </w:tc>
        <w:tc>
          <w:tcPr>
            <w:tcW w:w="7515" w:type="dxa"/>
          </w:tcPr>
          <w:p w14:paraId="76C144FE" w14:textId="77777777" w:rsidR="005166B9" w:rsidRDefault="00FD4693">
            <w:pPr>
              <w:pBdr>
                <w:top w:val="nil"/>
                <w:left w:val="nil"/>
                <w:bottom w:val="nil"/>
                <w:right w:val="nil"/>
                <w:between w:val="nil"/>
              </w:pBdr>
              <w:tabs>
                <w:tab w:val="left" w:pos="-576"/>
                <w:tab w:val="left" w:pos="144"/>
              </w:tabs>
              <w:spacing w:after="120"/>
              <w:jc w:val="both"/>
              <w:rPr>
                <w:rFonts w:ascii="Arial" w:eastAsia="Arial" w:hAnsi="Arial" w:cs="Arial"/>
                <w:color w:val="000000"/>
                <w:sz w:val="24"/>
                <w:szCs w:val="24"/>
              </w:rPr>
            </w:pPr>
            <w:r>
              <w:rPr>
                <w:rFonts w:ascii="Arial" w:eastAsia="Arial" w:hAnsi="Arial" w:cs="Arial"/>
                <w:color w:val="000000"/>
                <w:sz w:val="24"/>
                <w:szCs w:val="24"/>
              </w:rPr>
              <w:t>the data, text, drawings, diagrams, images or sounds (together with any database made up of any of these) which are embodied in any electronic, magnetic, optical or tangible media, including any of the Authority’s Confidential Information, and which:</w:t>
            </w:r>
          </w:p>
          <w:p w14:paraId="6F80CC1E" w14:textId="77777777" w:rsidR="005166B9" w:rsidRDefault="00FD4693">
            <w:pPr>
              <w:numPr>
                <w:ilvl w:val="2"/>
                <w:numId w:val="12"/>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are supplied to the Supplier by or on behalf of the Authority; or</w:t>
            </w:r>
          </w:p>
          <w:p w14:paraId="3B2380E0" w14:textId="77777777" w:rsidR="005166B9" w:rsidRDefault="00FD4693">
            <w:pPr>
              <w:numPr>
                <w:ilvl w:val="2"/>
                <w:numId w:val="12"/>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 xml:space="preserve">the Supplier is required to generate, process, store or transmit pursuant to a Contract; </w:t>
            </w:r>
          </w:p>
        </w:tc>
      </w:tr>
      <w:tr w:rsidR="005166B9" w14:paraId="0F7341FB" w14:textId="77777777">
        <w:tc>
          <w:tcPr>
            <w:tcW w:w="2445" w:type="dxa"/>
          </w:tcPr>
          <w:p w14:paraId="046FA06E" w14:textId="77777777" w:rsidR="005166B9" w:rsidRDefault="00FD4693">
            <w:pPr>
              <w:keepNext/>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"Guarantor"</w:t>
            </w:r>
          </w:p>
        </w:tc>
        <w:tc>
          <w:tcPr>
            <w:tcW w:w="7515" w:type="dxa"/>
          </w:tcPr>
          <w:p w14:paraId="496A5608" w14:textId="77777777" w:rsidR="005166B9" w:rsidRDefault="00FD469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person (if any) who has entered into a guarantee in the form set out in Joint Schedule 8 (Guarantee) in relation to this Contract;</w:t>
            </w:r>
          </w:p>
        </w:tc>
      </w:tr>
      <w:tr w:rsidR="005166B9" w14:paraId="435F419B" w14:textId="77777777">
        <w:tc>
          <w:tcPr>
            <w:tcW w:w="2445" w:type="dxa"/>
          </w:tcPr>
          <w:p w14:paraId="53B70230" w14:textId="77777777" w:rsidR="005166B9" w:rsidRDefault="00FD469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"Halifax Abuse Principle"</w:t>
            </w:r>
          </w:p>
        </w:tc>
        <w:tc>
          <w:tcPr>
            <w:tcW w:w="7515" w:type="dxa"/>
          </w:tcPr>
          <w:p w14:paraId="2EDBDAA2" w14:textId="77777777" w:rsidR="005166B9" w:rsidRDefault="00FD469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principle explained in the CJEU Case C-255/02 Halifax and others;</w:t>
            </w:r>
          </w:p>
        </w:tc>
      </w:tr>
      <w:tr w:rsidR="005166B9" w14:paraId="238FB2D4" w14:textId="77777777">
        <w:tc>
          <w:tcPr>
            <w:tcW w:w="2445" w:type="dxa"/>
          </w:tcPr>
          <w:p w14:paraId="3864BF76" w14:textId="77777777" w:rsidR="005166B9" w:rsidRDefault="00FD469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"HMRC"</w:t>
            </w:r>
          </w:p>
        </w:tc>
        <w:tc>
          <w:tcPr>
            <w:tcW w:w="7515" w:type="dxa"/>
          </w:tcPr>
          <w:p w14:paraId="0C11D7C7" w14:textId="60127EC5" w:rsidR="005166B9" w:rsidRDefault="008D2C10">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His </w:t>
            </w:r>
            <w:r w:rsidR="00FD4693">
              <w:rPr>
                <w:rFonts w:ascii="Arial" w:eastAsia="Arial" w:hAnsi="Arial" w:cs="Arial"/>
                <w:color w:val="000000"/>
                <w:sz w:val="24"/>
                <w:szCs w:val="24"/>
              </w:rPr>
              <w:t>Majesty’s Revenue and Customs;</w:t>
            </w:r>
          </w:p>
        </w:tc>
      </w:tr>
      <w:tr w:rsidR="00A23894" w14:paraId="48D3BF4A" w14:textId="77777777">
        <w:tc>
          <w:tcPr>
            <w:tcW w:w="2445" w:type="dxa"/>
          </w:tcPr>
          <w:p w14:paraId="36B0ED5C" w14:textId="2F0135EE" w:rsidR="00A23894" w:rsidRDefault="00A23894" w:rsidP="00A23894">
            <w:pPr>
              <w:pBdr>
                <w:top w:val="nil"/>
                <w:left w:val="nil"/>
                <w:bottom w:val="nil"/>
                <w:right w:val="nil"/>
                <w:between w:val="nil"/>
              </w:pBdr>
              <w:spacing w:after="120"/>
              <w:ind w:left="-108"/>
              <w:rPr>
                <w:rFonts w:ascii="Arial" w:eastAsia="Arial" w:hAnsi="Arial" w:cs="Arial"/>
                <w:b/>
                <w:color w:val="000000"/>
                <w:sz w:val="24"/>
                <w:szCs w:val="24"/>
              </w:rPr>
            </w:pPr>
            <w:r w:rsidRPr="00386A55">
              <w:rPr>
                <w:rFonts w:ascii="Arial" w:eastAsia="Arial" w:hAnsi="Arial" w:cs="Arial"/>
                <w:b/>
                <w:color w:val="000000"/>
                <w:sz w:val="24"/>
                <w:szCs w:val="24"/>
              </w:rPr>
              <w:t>"ICT Environment"</w:t>
            </w:r>
          </w:p>
        </w:tc>
        <w:tc>
          <w:tcPr>
            <w:tcW w:w="7515" w:type="dxa"/>
          </w:tcPr>
          <w:p w14:paraId="3C8EAEC6" w14:textId="5C7EAE72" w:rsidR="00A23894" w:rsidRDefault="00A23894" w:rsidP="00A23894">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sidRPr="00386A55">
              <w:rPr>
                <w:rFonts w:ascii="Arial" w:eastAsia="Arial" w:hAnsi="Arial" w:cs="Arial"/>
                <w:color w:val="000000"/>
                <w:sz w:val="24"/>
                <w:szCs w:val="24"/>
              </w:rPr>
              <w:t>the Buyer System and the Supplier System;</w:t>
            </w:r>
          </w:p>
        </w:tc>
      </w:tr>
      <w:tr w:rsidR="005166B9" w14:paraId="16CBC851" w14:textId="77777777">
        <w:tc>
          <w:tcPr>
            <w:tcW w:w="2445" w:type="dxa"/>
          </w:tcPr>
          <w:p w14:paraId="5ACC3812" w14:textId="77777777" w:rsidR="005166B9" w:rsidRDefault="00FD469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"ICT Policy"</w:t>
            </w:r>
          </w:p>
        </w:tc>
        <w:tc>
          <w:tcPr>
            <w:tcW w:w="7515" w:type="dxa"/>
          </w:tcPr>
          <w:p w14:paraId="678FE833" w14:textId="77777777" w:rsidR="005166B9" w:rsidRDefault="00FD469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Buyer's policy in respect of information and communications technology, referred to in the Order Form, which is in force as at the Call-Off Start Date (a copy of which has been supplied to the Supplier), as updated from time to time in accordance with the Variation Procedure;</w:t>
            </w:r>
          </w:p>
        </w:tc>
      </w:tr>
      <w:tr w:rsidR="005166B9" w14:paraId="05AF2C70" w14:textId="77777777">
        <w:tc>
          <w:tcPr>
            <w:tcW w:w="2445" w:type="dxa"/>
          </w:tcPr>
          <w:p w14:paraId="22D09276" w14:textId="77777777" w:rsidR="005166B9" w:rsidRDefault="00FD469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"Impact Assessment"</w:t>
            </w:r>
          </w:p>
        </w:tc>
        <w:tc>
          <w:tcPr>
            <w:tcW w:w="7515" w:type="dxa"/>
          </w:tcPr>
          <w:p w14:paraId="368F73D6" w14:textId="77777777" w:rsidR="005166B9" w:rsidRDefault="00FD469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 assessment of the impact of a Variation request by the Relevant Authority completed in good faith, including:</w:t>
            </w:r>
          </w:p>
          <w:p w14:paraId="385BB0B5" w14:textId="77777777" w:rsidR="005166B9" w:rsidRDefault="00FD4693">
            <w:pPr>
              <w:numPr>
                <w:ilvl w:val="1"/>
                <w:numId w:val="5"/>
              </w:numPr>
              <w:pBdr>
                <w:top w:val="nil"/>
                <w:left w:val="nil"/>
                <w:bottom w:val="nil"/>
                <w:right w:val="nil"/>
                <w:between w:val="nil"/>
              </w:pBdr>
              <w:tabs>
                <w:tab w:val="left" w:pos="-576"/>
                <w:tab w:val="left" w:pos="144"/>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details of the impact of the proposed Variation on the Deliverables and the Supplier's ability to meet its other obligations under the Contract; </w:t>
            </w:r>
          </w:p>
          <w:p w14:paraId="3096F309" w14:textId="77777777" w:rsidR="005166B9" w:rsidRDefault="00FD4693">
            <w:pPr>
              <w:numPr>
                <w:ilvl w:val="1"/>
                <w:numId w:val="5"/>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details of the cost of implementing the proposed Variation;</w:t>
            </w:r>
          </w:p>
          <w:p w14:paraId="29F66D99" w14:textId="77777777" w:rsidR="005166B9" w:rsidRDefault="00FD4693">
            <w:pPr>
              <w:numPr>
                <w:ilvl w:val="1"/>
                <w:numId w:val="5"/>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details of the ongoing costs required by the proposed Variation when implemented, including any increase or decrease in the Framework Prices/Charges (as applicable), any alteration in the resources and/or expenditure required by either Party and any alteration to the working practices of either Party;</w:t>
            </w:r>
          </w:p>
          <w:p w14:paraId="6DD74B70" w14:textId="77777777" w:rsidR="005166B9" w:rsidRDefault="00FD4693">
            <w:pPr>
              <w:numPr>
                <w:ilvl w:val="1"/>
                <w:numId w:val="5"/>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a timetable for the implementation, together with any proposals for the testing of the Variation; and</w:t>
            </w:r>
          </w:p>
          <w:p w14:paraId="7776051D" w14:textId="77777777" w:rsidR="005166B9" w:rsidRDefault="00FD4693">
            <w:pPr>
              <w:numPr>
                <w:ilvl w:val="1"/>
                <w:numId w:val="5"/>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such other information as the Relevant Authority may reasonably request in (or in response to) the Variation request;</w:t>
            </w:r>
          </w:p>
        </w:tc>
      </w:tr>
      <w:tr w:rsidR="005166B9" w14:paraId="72FD657B" w14:textId="77777777">
        <w:tc>
          <w:tcPr>
            <w:tcW w:w="2445" w:type="dxa"/>
          </w:tcPr>
          <w:p w14:paraId="2C4884C1" w14:textId="77777777" w:rsidR="005166B9" w:rsidRDefault="00FD469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"Implementation Plan"</w:t>
            </w:r>
          </w:p>
        </w:tc>
        <w:tc>
          <w:tcPr>
            <w:tcW w:w="7515" w:type="dxa"/>
          </w:tcPr>
          <w:p w14:paraId="75199F33" w14:textId="77777777" w:rsidR="005166B9" w:rsidRDefault="00FD469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plan for provision of the Deliverables set out in Call-Off Schedule 13 (Implementation Plan and Testing) where that Schedule is used or otherwise as agreed between the Supplier and the Buyer;</w:t>
            </w:r>
          </w:p>
        </w:tc>
      </w:tr>
      <w:tr w:rsidR="005166B9" w14:paraId="5CA33E01" w14:textId="77777777">
        <w:tc>
          <w:tcPr>
            <w:tcW w:w="2445" w:type="dxa"/>
          </w:tcPr>
          <w:p w14:paraId="7E2B068F" w14:textId="77777777" w:rsidR="005166B9" w:rsidRDefault="00FD469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"Indemnifier"</w:t>
            </w:r>
          </w:p>
        </w:tc>
        <w:tc>
          <w:tcPr>
            <w:tcW w:w="7515" w:type="dxa"/>
          </w:tcPr>
          <w:p w14:paraId="53A784EC" w14:textId="77777777" w:rsidR="005166B9" w:rsidRDefault="00FD469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 Party from whom an indemnity is sought under this Contract;</w:t>
            </w:r>
          </w:p>
        </w:tc>
      </w:tr>
      <w:tr w:rsidR="005166B9" w14:paraId="18E5FF6E" w14:textId="77777777">
        <w:tc>
          <w:tcPr>
            <w:tcW w:w="2445" w:type="dxa"/>
          </w:tcPr>
          <w:p w14:paraId="7D8E9842" w14:textId="77777777" w:rsidR="005166B9" w:rsidRDefault="00FD469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“Independent Control”</w:t>
            </w:r>
          </w:p>
        </w:tc>
        <w:tc>
          <w:tcPr>
            <w:tcW w:w="7515" w:type="dxa"/>
          </w:tcPr>
          <w:p w14:paraId="62740B65" w14:textId="77777777" w:rsidR="005166B9" w:rsidRDefault="00FD469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where a Controller has provided Personal Data to another Party which is not a Processor or a Joint Controller because the recipient itself determines the purposes and means of Processing but does so separately from the Controller providing it with Personal Data and “</w:t>
            </w:r>
            <w:r>
              <w:rPr>
                <w:rFonts w:ascii="Arial" w:eastAsia="Arial" w:hAnsi="Arial" w:cs="Arial"/>
                <w:b/>
                <w:color w:val="000000"/>
                <w:sz w:val="24"/>
                <w:szCs w:val="24"/>
              </w:rPr>
              <w:t>Independent Controller</w:t>
            </w:r>
            <w:r>
              <w:rPr>
                <w:rFonts w:ascii="Arial" w:eastAsia="Arial" w:hAnsi="Arial" w:cs="Arial"/>
                <w:color w:val="000000"/>
                <w:sz w:val="24"/>
                <w:szCs w:val="24"/>
              </w:rPr>
              <w:t>” shall be construed accordingly;</w:t>
            </w:r>
          </w:p>
        </w:tc>
      </w:tr>
      <w:tr w:rsidR="005166B9" w14:paraId="5BC5AFCD" w14:textId="77777777">
        <w:tc>
          <w:tcPr>
            <w:tcW w:w="2445" w:type="dxa"/>
          </w:tcPr>
          <w:p w14:paraId="4A84DB5A" w14:textId="77777777" w:rsidR="005166B9" w:rsidRDefault="00FD469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"Indexation"</w:t>
            </w:r>
          </w:p>
        </w:tc>
        <w:tc>
          <w:tcPr>
            <w:tcW w:w="7515" w:type="dxa"/>
          </w:tcPr>
          <w:p w14:paraId="65DFF4F8" w14:textId="77777777" w:rsidR="005166B9" w:rsidRDefault="00FD469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adjustment of an amount or sum in accordance with Framework Schedule 3 (Framework Prices) and the relevant Order Form;</w:t>
            </w:r>
          </w:p>
        </w:tc>
      </w:tr>
      <w:tr w:rsidR="005166B9" w14:paraId="04862090" w14:textId="77777777">
        <w:tc>
          <w:tcPr>
            <w:tcW w:w="2445" w:type="dxa"/>
          </w:tcPr>
          <w:p w14:paraId="49F61FEB" w14:textId="77777777" w:rsidR="005166B9" w:rsidRDefault="00FD469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"Information"</w:t>
            </w:r>
          </w:p>
        </w:tc>
        <w:tc>
          <w:tcPr>
            <w:tcW w:w="7515" w:type="dxa"/>
          </w:tcPr>
          <w:p w14:paraId="0233490D" w14:textId="77777777" w:rsidR="005166B9" w:rsidRDefault="00FD469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has the meaning given under section 84 of the Freedom of Information Act 2000;</w:t>
            </w:r>
          </w:p>
        </w:tc>
      </w:tr>
      <w:tr w:rsidR="005166B9" w14:paraId="6CB28B20" w14:textId="77777777">
        <w:tc>
          <w:tcPr>
            <w:tcW w:w="2445" w:type="dxa"/>
          </w:tcPr>
          <w:p w14:paraId="289BE791" w14:textId="77777777" w:rsidR="005166B9" w:rsidRDefault="00FD469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"Information Commissioner"</w:t>
            </w:r>
          </w:p>
        </w:tc>
        <w:tc>
          <w:tcPr>
            <w:tcW w:w="7515" w:type="dxa"/>
          </w:tcPr>
          <w:p w14:paraId="000F7971" w14:textId="77777777" w:rsidR="005166B9" w:rsidRDefault="00FD469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the UK’s independent authority which deals with ensuring information relating to rights in the public interest and data privacy for individuals is met, whilst promoting openness by public bodies; </w:t>
            </w:r>
          </w:p>
        </w:tc>
      </w:tr>
      <w:tr w:rsidR="005166B9" w14:paraId="548A47F2" w14:textId="77777777">
        <w:tc>
          <w:tcPr>
            <w:tcW w:w="2445" w:type="dxa"/>
          </w:tcPr>
          <w:p w14:paraId="18902D1F" w14:textId="77777777" w:rsidR="005166B9" w:rsidRDefault="00FD469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"Initial Period"</w:t>
            </w:r>
          </w:p>
        </w:tc>
        <w:tc>
          <w:tcPr>
            <w:tcW w:w="7515" w:type="dxa"/>
          </w:tcPr>
          <w:p w14:paraId="6E1FC9B6" w14:textId="77777777" w:rsidR="005166B9" w:rsidRDefault="00FD469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initial term of a Contract specified in the Framework Award Form or the Order Form, as the context requires;</w:t>
            </w:r>
          </w:p>
        </w:tc>
      </w:tr>
      <w:tr w:rsidR="005166B9" w14:paraId="54CD3C88" w14:textId="77777777">
        <w:tc>
          <w:tcPr>
            <w:tcW w:w="2445" w:type="dxa"/>
          </w:tcPr>
          <w:p w14:paraId="57F7006E" w14:textId="77777777" w:rsidR="005166B9" w:rsidRDefault="00FD469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"Insolvency Event"</w:t>
            </w:r>
          </w:p>
        </w:tc>
        <w:tc>
          <w:tcPr>
            <w:tcW w:w="7515" w:type="dxa"/>
          </w:tcPr>
          <w:p w14:paraId="39D85CEB" w14:textId="77777777" w:rsidR="005166B9" w:rsidRDefault="00FD469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with respect to any person, means:</w:t>
            </w:r>
          </w:p>
          <w:p w14:paraId="3C717EDC" w14:textId="77777777" w:rsidR="005166B9" w:rsidRDefault="00FD469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 that person suspends, or threatens to suspend, payment of its debts, or is unable to pay its debts as they fall due or admits inability to pay its debts, or:</w:t>
            </w:r>
          </w:p>
          <w:p w14:paraId="691C8F71" w14:textId="77777777" w:rsidR="005166B9" w:rsidRDefault="00FD469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w:t>
            </w:r>
            <w:proofErr w:type="spellStart"/>
            <w:r>
              <w:rPr>
                <w:rFonts w:ascii="Arial" w:eastAsia="Arial" w:hAnsi="Arial" w:cs="Arial"/>
                <w:color w:val="000000"/>
                <w:sz w:val="24"/>
                <w:szCs w:val="24"/>
              </w:rPr>
              <w:t>i</w:t>
            </w:r>
            <w:proofErr w:type="spellEnd"/>
            <w:r>
              <w:rPr>
                <w:rFonts w:ascii="Arial" w:eastAsia="Arial" w:hAnsi="Arial" w:cs="Arial"/>
                <w:color w:val="000000"/>
                <w:sz w:val="24"/>
                <w:szCs w:val="24"/>
              </w:rPr>
              <w:t xml:space="preserve">) (being a company or </w:t>
            </w:r>
            <w:proofErr w:type="gramStart"/>
            <w:r>
              <w:rPr>
                <w:rFonts w:ascii="Arial" w:eastAsia="Arial" w:hAnsi="Arial" w:cs="Arial"/>
                <w:color w:val="000000"/>
                <w:sz w:val="24"/>
                <w:szCs w:val="24"/>
              </w:rPr>
              <w:t>a</w:t>
            </w:r>
            <w:proofErr w:type="gramEnd"/>
            <w:r>
              <w:rPr>
                <w:rFonts w:ascii="Arial" w:eastAsia="Arial" w:hAnsi="Arial" w:cs="Arial"/>
                <w:color w:val="000000"/>
                <w:sz w:val="24"/>
                <w:szCs w:val="24"/>
              </w:rPr>
              <w:t xml:space="preserve"> LLP) is deemed unable to pay its debts within the meaning of section 123 of the Insolvency Act 1986, or</w:t>
            </w:r>
          </w:p>
          <w:p w14:paraId="07B7D3DF" w14:textId="77777777" w:rsidR="005166B9" w:rsidRDefault="00FD469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(ii) (being a partnership) is deemed unable to pay its debts within the meaning of section 222 of the Insolvency Act 1986;</w:t>
            </w:r>
          </w:p>
          <w:p w14:paraId="3247C21E" w14:textId="77777777" w:rsidR="005166B9" w:rsidRDefault="00FD469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(b) that person commences negotiations with one or more of its creditors (using a voluntary arrangement, scheme of arrangement or otherwise) with a view to rescheduling any of its debts, or makes a proposal for or enters into any compromise or arrangement with one or more of its creditors or takes any step to obtain a moratorium pursuant to Section 1A and Schedule A1 of the Insolvency Act 1986 other than (in the case of a company, a LLP or a partnership) for the sole purpose of a scheme for a solvent amalgamation of that person with one or more other companies or the solvent reconstruction of that person;</w:t>
            </w:r>
          </w:p>
          <w:p w14:paraId="05EEC3E8" w14:textId="77777777" w:rsidR="005166B9" w:rsidRDefault="00FD469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(c) another person becomes entitled to appoint a receiver over the assets of that person or a receiver is appointed over the assets of that person;</w:t>
            </w:r>
          </w:p>
          <w:p w14:paraId="33DE47F1" w14:textId="77777777" w:rsidR="005166B9" w:rsidRDefault="00FD469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(d) a creditor or encumbrancer of that person attaches or takes possession of, or a distress, execution or other such process is levied or enforced on or sued against, the whole or any part of that person’s assets and such attachment or process is not discharged within 14 days;</w:t>
            </w:r>
          </w:p>
          <w:p w14:paraId="717AA5EA" w14:textId="77777777" w:rsidR="005166B9" w:rsidRDefault="00FD469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(e) that person suspends or ceases, or threatens to suspend or cease, carrying on all or a substantial part of its business;</w:t>
            </w:r>
          </w:p>
          <w:p w14:paraId="093BF926" w14:textId="77777777" w:rsidR="005166B9" w:rsidRDefault="00FD469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(f) where that person is a company, </w:t>
            </w:r>
            <w:proofErr w:type="gramStart"/>
            <w:r>
              <w:rPr>
                <w:rFonts w:ascii="Arial" w:eastAsia="Arial" w:hAnsi="Arial" w:cs="Arial"/>
                <w:color w:val="000000"/>
                <w:sz w:val="24"/>
                <w:szCs w:val="24"/>
              </w:rPr>
              <w:t>a</w:t>
            </w:r>
            <w:proofErr w:type="gramEnd"/>
            <w:r>
              <w:rPr>
                <w:rFonts w:ascii="Arial" w:eastAsia="Arial" w:hAnsi="Arial" w:cs="Arial"/>
                <w:color w:val="000000"/>
                <w:sz w:val="24"/>
                <w:szCs w:val="24"/>
              </w:rPr>
              <w:t xml:space="preserve"> LLP or a partnership:</w:t>
            </w:r>
          </w:p>
          <w:p w14:paraId="5CD1D316" w14:textId="77777777" w:rsidR="005166B9" w:rsidRDefault="00FD469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w:t>
            </w:r>
            <w:proofErr w:type="spellStart"/>
            <w:r>
              <w:rPr>
                <w:rFonts w:ascii="Arial" w:eastAsia="Arial" w:hAnsi="Arial" w:cs="Arial"/>
                <w:color w:val="000000"/>
                <w:sz w:val="24"/>
                <w:szCs w:val="24"/>
              </w:rPr>
              <w:t>i</w:t>
            </w:r>
            <w:proofErr w:type="spellEnd"/>
            <w:r>
              <w:rPr>
                <w:rFonts w:ascii="Arial" w:eastAsia="Arial" w:hAnsi="Arial" w:cs="Arial"/>
                <w:color w:val="000000"/>
                <w:sz w:val="24"/>
                <w:szCs w:val="24"/>
              </w:rPr>
              <w:t>) a petition is presented (which is not dismissed within 14 days of its service), a notice is given, a resolution is passed, or an order is made, for or in connection with the winding up of that person other than for the sole purpose of a scheme for a solvent amalgamation of that person with one or more other companies or the solvent reconstruction of that person;</w:t>
            </w:r>
          </w:p>
          <w:p w14:paraId="789BDA3E" w14:textId="77777777" w:rsidR="005166B9" w:rsidRDefault="00FD469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(ii) an application is made to court, or an order is made, for the appointment of an administrator, or if a notice of intention to appoint an administrator is filed at Court or given or if an administrator is appointed, over that person;</w:t>
            </w:r>
          </w:p>
          <w:p w14:paraId="0E1061E8" w14:textId="77777777" w:rsidR="005166B9" w:rsidRDefault="00FD469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(iii) (being a company or </w:t>
            </w:r>
            <w:proofErr w:type="gramStart"/>
            <w:r>
              <w:rPr>
                <w:rFonts w:ascii="Arial" w:eastAsia="Arial" w:hAnsi="Arial" w:cs="Arial"/>
                <w:color w:val="000000"/>
                <w:sz w:val="24"/>
                <w:szCs w:val="24"/>
              </w:rPr>
              <w:t>a</w:t>
            </w:r>
            <w:proofErr w:type="gramEnd"/>
            <w:r>
              <w:rPr>
                <w:rFonts w:ascii="Arial" w:eastAsia="Arial" w:hAnsi="Arial" w:cs="Arial"/>
                <w:color w:val="000000"/>
                <w:sz w:val="24"/>
                <w:szCs w:val="24"/>
              </w:rPr>
              <w:t xml:space="preserve"> LLP) the holder of a qualifying floating charge over the assets of that person has become entitled to appoint or has appointed an administrative receiver; or</w:t>
            </w:r>
          </w:p>
          <w:p w14:paraId="2588AB9E" w14:textId="77777777" w:rsidR="005166B9" w:rsidRDefault="00FD469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lastRenderedPageBreak/>
              <w:t>(iv) (being a partnership) the holder of an agricultural floating charge over the assets of that person has become entitled to appoint or has appointed an agricultural receiver; or</w:t>
            </w:r>
          </w:p>
          <w:p w14:paraId="072C97EE" w14:textId="77777777" w:rsidR="005166B9" w:rsidRDefault="00FD469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(g) any event occurs, or proceeding is taken, with respect to that person in any jurisdiction to which it is subject that has an effect equivalent or similar to any of the events mentioned above;</w:t>
            </w:r>
          </w:p>
        </w:tc>
      </w:tr>
      <w:tr w:rsidR="005166B9" w14:paraId="1EC9E206" w14:textId="77777777">
        <w:tc>
          <w:tcPr>
            <w:tcW w:w="2445" w:type="dxa"/>
          </w:tcPr>
          <w:p w14:paraId="60981AA6" w14:textId="77777777" w:rsidR="005166B9" w:rsidRDefault="00FD4693">
            <w:pPr>
              <w:keepNext/>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"Installation Works"</w:t>
            </w:r>
          </w:p>
        </w:tc>
        <w:tc>
          <w:tcPr>
            <w:tcW w:w="7515" w:type="dxa"/>
          </w:tcPr>
          <w:p w14:paraId="46434C10" w14:textId="77777777" w:rsidR="005166B9" w:rsidRDefault="00FD469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all works which the Supplier is to carry out at the beginning of the Call-Off Contract Period to install the Goods in accordance with the Call-Off Contract;</w:t>
            </w:r>
          </w:p>
        </w:tc>
      </w:tr>
      <w:tr w:rsidR="005166B9" w14:paraId="580129A8" w14:textId="77777777">
        <w:tc>
          <w:tcPr>
            <w:tcW w:w="2445" w:type="dxa"/>
          </w:tcPr>
          <w:p w14:paraId="41F0BC59" w14:textId="77777777" w:rsidR="005166B9" w:rsidRDefault="00FD469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"Intellectual Property Rights" or "IPR"</w:t>
            </w:r>
          </w:p>
        </w:tc>
        <w:tc>
          <w:tcPr>
            <w:tcW w:w="7515" w:type="dxa"/>
          </w:tcPr>
          <w:p w14:paraId="4B7676B3" w14:textId="77777777" w:rsidR="005166B9" w:rsidRDefault="00FD4693">
            <w:pPr>
              <w:numPr>
                <w:ilvl w:val="1"/>
                <w:numId w:val="6"/>
              </w:numPr>
              <w:pBdr>
                <w:top w:val="nil"/>
                <w:left w:val="nil"/>
                <w:bottom w:val="nil"/>
                <w:right w:val="nil"/>
                <w:between w:val="nil"/>
              </w:pBdr>
              <w:tabs>
                <w:tab w:val="left" w:pos="-576"/>
                <w:tab w:val="left" w:pos="144"/>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copyright, rights related to or affording protection similar to copyright, rights in databases, patents and rights in inventions, semi-conductor topography rights, trade marks, rights in internet domain names and website addresses and other rights in trade or business names, goodwill, designs, Know-How, trade secrets and other rights in Confidential Information; </w:t>
            </w:r>
          </w:p>
          <w:p w14:paraId="1AB49F19" w14:textId="77777777" w:rsidR="005166B9" w:rsidRDefault="00FD4693">
            <w:pPr>
              <w:numPr>
                <w:ilvl w:val="1"/>
                <w:numId w:val="6"/>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applications for registration, and the right to apply for registration, for any of the rights listed at (a) that are capable of being registered in any country or jurisdiction; and</w:t>
            </w:r>
          </w:p>
          <w:p w14:paraId="1E485568" w14:textId="77777777" w:rsidR="005166B9" w:rsidRDefault="00FD4693">
            <w:pPr>
              <w:numPr>
                <w:ilvl w:val="1"/>
                <w:numId w:val="6"/>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all other rights having equivalent or similar effect in any country or jurisdiction;</w:t>
            </w:r>
          </w:p>
        </w:tc>
      </w:tr>
      <w:tr w:rsidR="005166B9" w14:paraId="493A1D44" w14:textId="77777777">
        <w:tc>
          <w:tcPr>
            <w:tcW w:w="2445" w:type="dxa"/>
          </w:tcPr>
          <w:p w14:paraId="3FA7F8AF" w14:textId="77777777" w:rsidR="005166B9" w:rsidRDefault="00FD469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"Invoicing Address"</w:t>
            </w:r>
          </w:p>
        </w:tc>
        <w:tc>
          <w:tcPr>
            <w:tcW w:w="7515" w:type="dxa"/>
          </w:tcPr>
          <w:p w14:paraId="29FC2592" w14:textId="77777777" w:rsidR="005166B9" w:rsidRDefault="00FD469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address to which the Supplier shall invoice the Buyer as specified in the Order Form;</w:t>
            </w:r>
          </w:p>
        </w:tc>
      </w:tr>
      <w:tr w:rsidR="005166B9" w14:paraId="69E9C774" w14:textId="77777777">
        <w:tc>
          <w:tcPr>
            <w:tcW w:w="2445" w:type="dxa"/>
          </w:tcPr>
          <w:p w14:paraId="5581A1A1" w14:textId="77777777" w:rsidR="005166B9" w:rsidRDefault="00FD469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"IPR Claim"</w:t>
            </w:r>
          </w:p>
        </w:tc>
        <w:tc>
          <w:tcPr>
            <w:tcW w:w="7515" w:type="dxa"/>
          </w:tcPr>
          <w:p w14:paraId="692274DA" w14:textId="3F413E77" w:rsidR="005166B9" w:rsidRDefault="00FD469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claim of infringement or alleged infringement (including the defence of such infringement or alleged infringement) of any IPR</w:t>
            </w:r>
            <w:r w:rsidR="0015466E">
              <w:rPr>
                <w:rFonts w:ascii="Arial" w:eastAsia="Arial" w:hAnsi="Arial" w:cs="Arial"/>
                <w:color w:val="000000"/>
                <w:sz w:val="24"/>
                <w:szCs w:val="24"/>
              </w:rPr>
              <w:t xml:space="preserve"> (excluding COTS Software)</w:t>
            </w:r>
            <w:r>
              <w:rPr>
                <w:rFonts w:ascii="Arial" w:eastAsia="Arial" w:hAnsi="Arial" w:cs="Arial"/>
                <w:color w:val="000000"/>
                <w:sz w:val="24"/>
                <w:szCs w:val="24"/>
              </w:rPr>
              <w:t>, used to provide the Deliverables or otherwise provided and/or licensed by the Supplier (or to which the Supplier has provided access) to the Relevant Authority in the fulfilment of its obligations under a Contract;</w:t>
            </w:r>
          </w:p>
        </w:tc>
      </w:tr>
      <w:tr w:rsidR="005166B9" w14:paraId="6D3EC319" w14:textId="77777777">
        <w:tc>
          <w:tcPr>
            <w:tcW w:w="2445" w:type="dxa"/>
          </w:tcPr>
          <w:p w14:paraId="48959B6F" w14:textId="77777777" w:rsidR="005166B9" w:rsidRDefault="00FD469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"IR35"</w:t>
            </w:r>
          </w:p>
        </w:tc>
        <w:tc>
          <w:tcPr>
            <w:tcW w:w="7515" w:type="dxa"/>
          </w:tcPr>
          <w:p w14:paraId="2E78D98D" w14:textId="77777777" w:rsidR="005166B9" w:rsidRDefault="00FD469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the off-payroll rules requiring individuals who work through their company pay the same income tax and National Insurance contributions as an employee which can be found online at: </w:t>
            </w:r>
            <w:hyperlink r:id="rId8">
              <w:r>
                <w:rPr>
                  <w:rFonts w:ascii="Arial" w:eastAsia="Arial" w:hAnsi="Arial" w:cs="Arial"/>
                  <w:color w:val="0000FF"/>
                  <w:sz w:val="24"/>
                  <w:szCs w:val="24"/>
                  <w:u w:val="single"/>
                </w:rPr>
                <w:t>https://www.gov.uk/guidance/ir35-find-out-if-it-applies</w:t>
              </w:r>
            </w:hyperlink>
            <w:r>
              <w:rPr>
                <w:rFonts w:ascii="Arial" w:eastAsia="Arial" w:hAnsi="Arial" w:cs="Arial"/>
                <w:color w:val="000000"/>
                <w:sz w:val="24"/>
                <w:szCs w:val="24"/>
              </w:rPr>
              <w:t>;</w:t>
            </w:r>
          </w:p>
        </w:tc>
      </w:tr>
      <w:tr w:rsidR="005166B9" w14:paraId="0D9478B5" w14:textId="77777777">
        <w:tc>
          <w:tcPr>
            <w:tcW w:w="2445" w:type="dxa"/>
          </w:tcPr>
          <w:p w14:paraId="1BCF7DDC" w14:textId="77777777" w:rsidR="005166B9" w:rsidRDefault="00FD469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“Joint Controller Agreement”</w:t>
            </w:r>
          </w:p>
        </w:tc>
        <w:tc>
          <w:tcPr>
            <w:tcW w:w="7515" w:type="dxa"/>
          </w:tcPr>
          <w:p w14:paraId="021C2A6E" w14:textId="77777777" w:rsidR="005166B9" w:rsidRDefault="00FD469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agreement (if any) entered into between the Relevant Authority and the Supplier substantially in the form set out in Annex 2 of Joint Schedule 11 (</w:t>
            </w:r>
            <w:r>
              <w:rPr>
                <w:rFonts w:ascii="Arial" w:eastAsia="Arial" w:hAnsi="Arial" w:cs="Arial"/>
                <w:i/>
                <w:color w:val="000000"/>
                <w:sz w:val="24"/>
                <w:szCs w:val="24"/>
              </w:rPr>
              <w:t>Processing Data</w:t>
            </w:r>
            <w:r>
              <w:rPr>
                <w:rFonts w:ascii="Arial" w:eastAsia="Arial" w:hAnsi="Arial" w:cs="Arial"/>
                <w:color w:val="000000"/>
                <w:sz w:val="24"/>
                <w:szCs w:val="24"/>
              </w:rPr>
              <w:t>);</w:t>
            </w:r>
          </w:p>
        </w:tc>
      </w:tr>
      <w:tr w:rsidR="005166B9" w14:paraId="155FCEC2" w14:textId="77777777">
        <w:tc>
          <w:tcPr>
            <w:tcW w:w="2445" w:type="dxa"/>
          </w:tcPr>
          <w:p w14:paraId="13E77AD2" w14:textId="77777777" w:rsidR="005166B9" w:rsidRDefault="00FD469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“Joint Controllers”</w:t>
            </w:r>
          </w:p>
        </w:tc>
        <w:tc>
          <w:tcPr>
            <w:tcW w:w="7515" w:type="dxa"/>
          </w:tcPr>
          <w:p w14:paraId="325F8436" w14:textId="77777777" w:rsidR="005166B9" w:rsidRDefault="00FD469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where two or more Controllers jointly determine the purposes and means of Processing;</w:t>
            </w:r>
          </w:p>
        </w:tc>
      </w:tr>
      <w:tr w:rsidR="005166B9" w14:paraId="606C3172" w14:textId="77777777">
        <w:tc>
          <w:tcPr>
            <w:tcW w:w="2445" w:type="dxa"/>
          </w:tcPr>
          <w:p w14:paraId="178B925D" w14:textId="77777777" w:rsidR="005166B9" w:rsidRDefault="00FD469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"Key Staff"</w:t>
            </w:r>
          </w:p>
        </w:tc>
        <w:tc>
          <w:tcPr>
            <w:tcW w:w="7515" w:type="dxa"/>
          </w:tcPr>
          <w:p w14:paraId="607AC1DD" w14:textId="77777777" w:rsidR="005166B9" w:rsidRDefault="00FD469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individuals (if any) identified as such in the Order Form;</w:t>
            </w:r>
          </w:p>
        </w:tc>
      </w:tr>
      <w:tr w:rsidR="005166B9" w14:paraId="70D911DE" w14:textId="77777777">
        <w:trPr>
          <w:trHeight w:val="357"/>
        </w:trPr>
        <w:tc>
          <w:tcPr>
            <w:tcW w:w="2445" w:type="dxa"/>
          </w:tcPr>
          <w:p w14:paraId="31B1CD6A" w14:textId="77777777" w:rsidR="005166B9" w:rsidRDefault="00FD469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"Key Sub-Contract"</w:t>
            </w:r>
          </w:p>
        </w:tc>
        <w:tc>
          <w:tcPr>
            <w:tcW w:w="7515" w:type="dxa"/>
          </w:tcPr>
          <w:p w14:paraId="0D221DAC" w14:textId="77777777" w:rsidR="005166B9" w:rsidRDefault="00FD469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each Sub-Contract with a Key Subcontractor;</w:t>
            </w:r>
          </w:p>
        </w:tc>
      </w:tr>
      <w:tr w:rsidR="005166B9" w14:paraId="163D0444" w14:textId="77777777">
        <w:trPr>
          <w:trHeight w:val="426"/>
        </w:trPr>
        <w:tc>
          <w:tcPr>
            <w:tcW w:w="2445" w:type="dxa"/>
          </w:tcPr>
          <w:p w14:paraId="528F6F4D" w14:textId="77777777" w:rsidR="005166B9" w:rsidRDefault="00FD469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"Key Subcontractor"</w:t>
            </w:r>
          </w:p>
        </w:tc>
        <w:tc>
          <w:tcPr>
            <w:tcW w:w="7515" w:type="dxa"/>
          </w:tcPr>
          <w:p w14:paraId="63ADCE56" w14:textId="77777777" w:rsidR="005166B9" w:rsidRDefault="00FD469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Subcontractor:</w:t>
            </w:r>
          </w:p>
          <w:p w14:paraId="1DD1B2A1" w14:textId="77777777" w:rsidR="005166B9" w:rsidRDefault="00FD4693">
            <w:pPr>
              <w:numPr>
                <w:ilvl w:val="1"/>
                <w:numId w:val="7"/>
              </w:numPr>
              <w:pBdr>
                <w:top w:val="nil"/>
                <w:left w:val="nil"/>
                <w:bottom w:val="nil"/>
                <w:right w:val="nil"/>
                <w:between w:val="nil"/>
              </w:pBdr>
              <w:tabs>
                <w:tab w:val="left" w:pos="-576"/>
                <w:tab w:val="left" w:pos="144"/>
              </w:tabs>
              <w:spacing w:after="120"/>
              <w:jc w:val="both"/>
              <w:rPr>
                <w:rFonts w:ascii="Arial" w:eastAsia="Arial" w:hAnsi="Arial" w:cs="Arial"/>
                <w:color w:val="000000"/>
                <w:sz w:val="24"/>
                <w:szCs w:val="24"/>
              </w:rPr>
            </w:pPr>
            <w:r>
              <w:rPr>
                <w:rFonts w:ascii="Arial" w:eastAsia="Arial" w:hAnsi="Arial" w:cs="Arial"/>
                <w:color w:val="000000"/>
                <w:sz w:val="24"/>
                <w:szCs w:val="24"/>
              </w:rPr>
              <w:t>which is relied upon to deliver any work package within the Deliverables in their entirety; and/or</w:t>
            </w:r>
          </w:p>
          <w:p w14:paraId="10BE87DC" w14:textId="77777777" w:rsidR="005166B9" w:rsidRDefault="00FD4693">
            <w:pPr>
              <w:numPr>
                <w:ilvl w:val="1"/>
                <w:numId w:val="7"/>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lastRenderedPageBreak/>
              <w:t>which, in the opinion of CCS or the Buyer performs (or would perform if appointed) a critical role in the provision of all or any part of the Deliverables; and/or</w:t>
            </w:r>
          </w:p>
          <w:p w14:paraId="786EAD54" w14:textId="77777777" w:rsidR="005166B9" w:rsidRDefault="00FD4693">
            <w:pPr>
              <w:numPr>
                <w:ilvl w:val="1"/>
                <w:numId w:val="7"/>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with a Sub-Contract with a contract value which at the time of appointment exceeds (or would exceed if appointed) 10% of the aggregate Charges forecast to be payable under the Call-Off Contract,</w:t>
            </w:r>
          </w:p>
          <w:p w14:paraId="48FC6860" w14:textId="77777777" w:rsidR="005166B9" w:rsidRDefault="00FD4693">
            <w:pPr>
              <w:pBdr>
                <w:top w:val="nil"/>
                <w:left w:val="nil"/>
                <w:bottom w:val="nil"/>
                <w:right w:val="nil"/>
                <w:between w:val="nil"/>
              </w:pBdr>
              <w:tabs>
                <w:tab w:val="left" w:pos="-576"/>
                <w:tab w:val="left" w:pos="144"/>
              </w:tabs>
              <w:spacing w:after="120"/>
              <w:ind w:left="144"/>
              <w:jc w:val="both"/>
              <w:rPr>
                <w:rFonts w:ascii="Arial" w:eastAsia="Arial" w:hAnsi="Arial" w:cs="Arial"/>
                <w:color w:val="000000"/>
                <w:sz w:val="24"/>
                <w:szCs w:val="24"/>
              </w:rPr>
            </w:pPr>
            <w:r>
              <w:rPr>
                <w:rFonts w:ascii="Arial" w:eastAsia="Arial" w:hAnsi="Arial" w:cs="Arial"/>
                <w:color w:val="000000"/>
                <w:sz w:val="24"/>
                <w:szCs w:val="24"/>
              </w:rPr>
              <w:t>and the Supplier shall list all such Key Subcontractors in section 19 of the Framework Award Form and in the Key Subcontractor Section in Order Form;</w:t>
            </w:r>
          </w:p>
        </w:tc>
      </w:tr>
      <w:tr w:rsidR="005166B9" w14:paraId="541869F5" w14:textId="77777777">
        <w:tc>
          <w:tcPr>
            <w:tcW w:w="2445" w:type="dxa"/>
          </w:tcPr>
          <w:p w14:paraId="3DD972EE" w14:textId="77777777" w:rsidR="005166B9" w:rsidRDefault="00FD4693">
            <w:pPr>
              <w:keepNext/>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"Know-How"</w:t>
            </w:r>
          </w:p>
        </w:tc>
        <w:tc>
          <w:tcPr>
            <w:tcW w:w="7515" w:type="dxa"/>
          </w:tcPr>
          <w:p w14:paraId="5A1AE036" w14:textId="77777777" w:rsidR="005166B9" w:rsidRDefault="00FD469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all ideas, concepts, schemes, information, knowledge, techniques, methodology, and anything else in the nature of know-how relating to the Deliverables but excluding know-how already in the other Party’s possession before the applicable Start Date;</w:t>
            </w:r>
          </w:p>
        </w:tc>
      </w:tr>
      <w:tr w:rsidR="005166B9" w14:paraId="5033AD30" w14:textId="77777777">
        <w:tc>
          <w:tcPr>
            <w:tcW w:w="2445" w:type="dxa"/>
          </w:tcPr>
          <w:p w14:paraId="47A5BCE3" w14:textId="77777777" w:rsidR="005166B9" w:rsidRDefault="00FD469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"Law"</w:t>
            </w:r>
          </w:p>
        </w:tc>
        <w:tc>
          <w:tcPr>
            <w:tcW w:w="7515" w:type="dxa"/>
          </w:tcPr>
          <w:p w14:paraId="3C4C24FC" w14:textId="77777777" w:rsidR="005166B9" w:rsidRDefault="00FD469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law, subordinate legislation within the meaning of Section 21(1) of the Interpretation Act 1978, bye-law, enforceable right within the meaning of Section 2 of the European Communities Act 1972, regulation, order, regulatory policy, mandatory guidance or code of practice, judgment of a relevant court of law, or directives or requirements with which the relevant Party is bound to comply;</w:t>
            </w:r>
          </w:p>
        </w:tc>
      </w:tr>
      <w:tr w:rsidR="005166B9" w14:paraId="69AC7F2D" w14:textId="77777777">
        <w:tc>
          <w:tcPr>
            <w:tcW w:w="2445" w:type="dxa"/>
          </w:tcPr>
          <w:p w14:paraId="6987FBE0" w14:textId="77777777" w:rsidR="005166B9" w:rsidRDefault="00FD469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"Losses"</w:t>
            </w:r>
          </w:p>
        </w:tc>
        <w:tc>
          <w:tcPr>
            <w:tcW w:w="7515" w:type="dxa"/>
          </w:tcPr>
          <w:p w14:paraId="20D6C0BB" w14:textId="33E2D6F0" w:rsidR="005166B9" w:rsidRDefault="00FD469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all losses, liabilities, damages, costs, expenses (including legal fees), disbursements, costs of investigation, litigation, settlement, judgment, interest and penalties whether arising in contract, tort (including negligence), breach of statutory duty, misrepresentation or otherwise </w:t>
            </w:r>
            <w:r w:rsidR="00440D1E">
              <w:rPr>
                <w:rFonts w:ascii="Arial" w:eastAsia="Arial" w:hAnsi="Arial" w:cs="Arial"/>
                <w:color w:val="000000"/>
                <w:sz w:val="24"/>
                <w:szCs w:val="24"/>
              </w:rPr>
              <w:t xml:space="preserve">but excluding any Compensation Amount </w:t>
            </w:r>
            <w:r>
              <w:rPr>
                <w:rFonts w:ascii="Arial" w:eastAsia="Arial" w:hAnsi="Arial" w:cs="Arial"/>
                <w:color w:val="000000"/>
                <w:sz w:val="24"/>
                <w:szCs w:val="24"/>
              </w:rPr>
              <w:t>and "</w:t>
            </w:r>
            <w:r>
              <w:rPr>
                <w:rFonts w:ascii="Arial" w:eastAsia="Arial" w:hAnsi="Arial" w:cs="Arial"/>
                <w:b/>
                <w:color w:val="000000"/>
                <w:sz w:val="24"/>
                <w:szCs w:val="24"/>
              </w:rPr>
              <w:t>Loss</w:t>
            </w:r>
            <w:r>
              <w:rPr>
                <w:rFonts w:ascii="Arial" w:eastAsia="Arial" w:hAnsi="Arial" w:cs="Arial"/>
                <w:color w:val="000000"/>
                <w:sz w:val="24"/>
                <w:szCs w:val="24"/>
              </w:rPr>
              <w:t>" shall be interpreted accordingly;</w:t>
            </w:r>
          </w:p>
        </w:tc>
      </w:tr>
      <w:tr w:rsidR="005166B9" w14:paraId="20E4C244" w14:textId="77777777">
        <w:tc>
          <w:tcPr>
            <w:tcW w:w="2445" w:type="dxa"/>
          </w:tcPr>
          <w:p w14:paraId="1997D8DC" w14:textId="77777777" w:rsidR="005166B9" w:rsidRDefault="00FD469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"Lots"</w:t>
            </w:r>
          </w:p>
        </w:tc>
        <w:tc>
          <w:tcPr>
            <w:tcW w:w="7515" w:type="dxa"/>
          </w:tcPr>
          <w:p w14:paraId="71673EE5" w14:textId="77777777" w:rsidR="005166B9" w:rsidRDefault="00FD4693">
            <w:pPr>
              <w:pBdr>
                <w:top w:val="nil"/>
                <w:left w:val="nil"/>
                <w:bottom w:val="nil"/>
                <w:right w:val="nil"/>
                <w:between w:val="nil"/>
              </w:pBdr>
              <w:tabs>
                <w:tab w:val="left" w:pos="-179"/>
                <w:tab w:val="left" w:pos="175"/>
              </w:tabs>
              <w:spacing w:after="120"/>
              <w:ind w:left="170" w:right="189"/>
              <w:jc w:val="both"/>
              <w:rPr>
                <w:rFonts w:ascii="Arial" w:eastAsia="Arial" w:hAnsi="Arial" w:cs="Arial"/>
                <w:color w:val="000000"/>
                <w:sz w:val="24"/>
                <w:szCs w:val="24"/>
              </w:rPr>
            </w:pPr>
            <w:r>
              <w:rPr>
                <w:rFonts w:ascii="Arial" w:eastAsia="Arial" w:hAnsi="Arial" w:cs="Arial"/>
                <w:color w:val="000000"/>
                <w:sz w:val="24"/>
                <w:szCs w:val="24"/>
              </w:rPr>
              <w:t>the number of lots specified in Framework Schedule 1 (Specification), if applicable;</w:t>
            </w:r>
          </w:p>
        </w:tc>
      </w:tr>
      <w:tr w:rsidR="0015466E" w14:paraId="126DFC96" w14:textId="77777777">
        <w:tc>
          <w:tcPr>
            <w:tcW w:w="2445" w:type="dxa"/>
          </w:tcPr>
          <w:p w14:paraId="6D378BD4" w14:textId="028715D1" w:rsidR="0015466E" w:rsidRDefault="0015466E" w:rsidP="0015466E">
            <w:pPr>
              <w:pBdr>
                <w:top w:val="nil"/>
                <w:left w:val="nil"/>
                <w:bottom w:val="nil"/>
                <w:right w:val="nil"/>
                <w:between w:val="nil"/>
              </w:pBdr>
              <w:spacing w:after="120"/>
              <w:ind w:left="-108"/>
              <w:rPr>
                <w:rFonts w:ascii="Arial" w:eastAsia="Arial" w:hAnsi="Arial" w:cs="Arial"/>
                <w:b/>
                <w:color w:val="000000"/>
                <w:sz w:val="24"/>
                <w:szCs w:val="24"/>
              </w:rPr>
            </w:pPr>
            <w:r w:rsidRPr="00386A55">
              <w:rPr>
                <w:rFonts w:ascii="Arial" w:eastAsia="Arial" w:hAnsi="Arial" w:cs="Arial"/>
                <w:b/>
                <w:color w:val="000000"/>
                <w:sz w:val="24"/>
                <w:szCs w:val="24"/>
              </w:rPr>
              <w:t>"Malicious Software"</w:t>
            </w:r>
          </w:p>
        </w:tc>
        <w:tc>
          <w:tcPr>
            <w:tcW w:w="7515" w:type="dxa"/>
          </w:tcPr>
          <w:p w14:paraId="06FC26ED" w14:textId="135C9638" w:rsidR="0015466E" w:rsidRDefault="0015466E" w:rsidP="0015466E">
            <w:pPr>
              <w:pBdr>
                <w:top w:val="nil"/>
                <w:left w:val="nil"/>
                <w:bottom w:val="nil"/>
                <w:right w:val="nil"/>
                <w:between w:val="nil"/>
              </w:pBdr>
              <w:tabs>
                <w:tab w:val="left" w:pos="-179"/>
                <w:tab w:val="left" w:pos="175"/>
              </w:tabs>
              <w:spacing w:after="120"/>
              <w:ind w:left="170" w:right="189"/>
              <w:jc w:val="both"/>
              <w:rPr>
                <w:rFonts w:ascii="Arial" w:eastAsia="Arial" w:hAnsi="Arial" w:cs="Arial"/>
                <w:color w:val="000000"/>
                <w:sz w:val="24"/>
                <w:szCs w:val="24"/>
              </w:rPr>
            </w:pPr>
            <w:r w:rsidRPr="00386A55">
              <w:rPr>
                <w:rFonts w:ascii="Arial" w:eastAsia="Arial" w:hAnsi="Arial" w:cs="Arial"/>
                <w:color w:val="000000"/>
                <w:sz w:val="24"/>
                <w:szCs w:val="24"/>
              </w:rPr>
              <w:t>any software program or code intended to destroy, interfere with, corrupt, or cause undesired effects on program files, data or other information, executable code or application software macros, whether or not its operation is immediate or delayed, and whether the malicious software is introduced wilfully, negligently or without knowledge of its existence;</w:t>
            </w:r>
          </w:p>
        </w:tc>
      </w:tr>
      <w:tr w:rsidR="005166B9" w14:paraId="53616949" w14:textId="77777777">
        <w:tc>
          <w:tcPr>
            <w:tcW w:w="2445" w:type="dxa"/>
          </w:tcPr>
          <w:p w14:paraId="02FD73EA" w14:textId="77777777" w:rsidR="005166B9" w:rsidRDefault="00FD469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"Management Charge"</w:t>
            </w:r>
          </w:p>
        </w:tc>
        <w:tc>
          <w:tcPr>
            <w:tcW w:w="7515" w:type="dxa"/>
          </w:tcPr>
          <w:p w14:paraId="505476E1" w14:textId="77777777" w:rsidR="005166B9" w:rsidRDefault="00FD4693">
            <w:pPr>
              <w:pBdr>
                <w:top w:val="nil"/>
                <w:left w:val="nil"/>
                <w:bottom w:val="nil"/>
                <w:right w:val="nil"/>
                <w:between w:val="nil"/>
              </w:pBdr>
              <w:tabs>
                <w:tab w:val="left" w:pos="-179"/>
                <w:tab w:val="left" w:pos="-9"/>
              </w:tabs>
              <w:spacing w:after="120"/>
              <w:ind w:left="170" w:right="189"/>
              <w:jc w:val="both"/>
              <w:rPr>
                <w:rFonts w:ascii="Arial" w:eastAsia="Arial" w:hAnsi="Arial" w:cs="Arial"/>
                <w:color w:val="000000"/>
                <w:sz w:val="24"/>
                <w:szCs w:val="24"/>
              </w:rPr>
            </w:pPr>
            <w:r>
              <w:rPr>
                <w:rFonts w:ascii="Arial" w:eastAsia="Arial" w:hAnsi="Arial" w:cs="Arial"/>
                <w:color w:val="000000"/>
                <w:sz w:val="24"/>
                <w:szCs w:val="24"/>
              </w:rPr>
              <w:t>the sum specified in the Framework Award Form payable by the Supplier to CCS in accordance with Framework Schedule 5 (Management Charges and Information);</w:t>
            </w:r>
          </w:p>
        </w:tc>
      </w:tr>
      <w:tr w:rsidR="005166B9" w14:paraId="26A2B4E5" w14:textId="77777777">
        <w:tc>
          <w:tcPr>
            <w:tcW w:w="2445" w:type="dxa"/>
          </w:tcPr>
          <w:p w14:paraId="5B10F44D" w14:textId="77777777" w:rsidR="005166B9" w:rsidRDefault="00FD469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"Management Information" or “MI”</w:t>
            </w:r>
          </w:p>
        </w:tc>
        <w:tc>
          <w:tcPr>
            <w:tcW w:w="7515" w:type="dxa"/>
          </w:tcPr>
          <w:p w14:paraId="3479258F" w14:textId="77777777" w:rsidR="005166B9" w:rsidRDefault="00FD469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management information specified in Framework Schedule 5 (Management Charges and Information);</w:t>
            </w:r>
          </w:p>
        </w:tc>
      </w:tr>
      <w:tr w:rsidR="005166B9" w14:paraId="52B65D00" w14:textId="77777777">
        <w:tc>
          <w:tcPr>
            <w:tcW w:w="2445" w:type="dxa"/>
          </w:tcPr>
          <w:p w14:paraId="4B0275C7" w14:textId="77777777" w:rsidR="005166B9" w:rsidRDefault="00FD469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“MI Default”</w:t>
            </w:r>
          </w:p>
        </w:tc>
        <w:tc>
          <w:tcPr>
            <w:tcW w:w="7515" w:type="dxa"/>
          </w:tcPr>
          <w:p w14:paraId="386D4329" w14:textId="77777777" w:rsidR="005166B9" w:rsidRDefault="00FD4693">
            <w:pPr>
              <w:pBdr>
                <w:top w:val="nil"/>
                <w:left w:val="nil"/>
                <w:bottom w:val="nil"/>
                <w:right w:val="nil"/>
                <w:between w:val="nil"/>
              </w:pBdr>
              <w:tabs>
                <w:tab w:val="left" w:pos="-179"/>
                <w:tab w:val="left" w:pos="175"/>
              </w:tabs>
              <w:spacing w:after="120"/>
              <w:ind w:left="170"/>
              <w:jc w:val="both"/>
              <w:rPr>
                <w:rFonts w:ascii="Arial" w:eastAsia="Arial" w:hAnsi="Arial" w:cs="Arial"/>
                <w:color w:val="000000"/>
                <w:sz w:val="24"/>
                <w:szCs w:val="24"/>
              </w:rPr>
            </w:pPr>
            <w:r>
              <w:rPr>
                <w:rFonts w:ascii="Arial" w:eastAsia="Arial" w:hAnsi="Arial" w:cs="Arial"/>
                <w:color w:val="222222"/>
                <w:sz w:val="24"/>
                <w:szCs w:val="24"/>
              </w:rPr>
              <w:t>means when</w:t>
            </w:r>
            <w:r>
              <w:rPr>
                <w:rFonts w:ascii="Arial" w:eastAsia="Arial" w:hAnsi="Arial" w:cs="Arial"/>
                <w:b/>
                <w:color w:val="222222"/>
                <w:sz w:val="24"/>
                <w:szCs w:val="24"/>
              </w:rPr>
              <w:t xml:space="preserve"> </w:t>
            </w:r>
            <w:r>
              <w:rPr>
                <w:rFonts w:ascii="Arial" w:eastAsia="Arial" w:hAnsi="Arial" w:cs="Arial"/>
                <w:color w:val="000000"/>
                <w:sz w:val="24"/>
                <w:szCs w:val="24"/>
              </w:rPr>
              <w:t>two (2) MI Reports are not provided in any rolling six (6) month period</w:t>
            </w:r>
          </w:p>
        </w:tc>
      </w:tr>
      <w:tr w:rsidR="005166B9" w14:paraId="62D2F696" w14:textId="77777777">
        <w:tc>
          <w:tcPr>
            <w:tcW w:w="2445" w:type="dxa"/>
          </w:tcPr>
          <w:p w14:paraId="391AB26D" w14:textId="77777777" w:rsidR="005166B9" w:rsidRDefault="00FD469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"MI Failure"</w:t>
            </w:r>
          </w:p>
        </w:tc>
        <w:tc>
          <w:tcPr>
            <w:tcW w:w="7515" w:type="dxa"/>
          </w:tcPr>
          <w:p w14:paraId="503BC8E0" w14:textId="77777777" w:rsidR="005166B9" w:rsidRDefault="00FD4693">
            <w:pPr>
              <w:pBdr>
                <w:top w:val="nil"/>
                <w:left w:val="nil"/>
                <w:bottom w:val="nil"/>
                <w:right w:val="nil"/>
                <w:between w:val="nil"/>
              </w:pBdr>
              <w:tabs>
                <w:tab w:val="left" w:pos="-179"/>
                <w:tab w:val="left" w:pos="175"/>
              </w:tabs>
              <w:spacing w:after="120"/>
              <w:ind w:left="170"/>
              <w:jc w:val="both"/>
              <w:rPr>
                <w:rFonts w:ascii="Arial" w:eastAsia="Arial" w:hAnsi="Arial" w:cs="Arial"/>
                <w:color w:val="000000"/>
                <w:sz w:val="24"/>
                <w:szCs w:val="24"/>
              </w:rPr>
            </w:pPr>
            <w:r>
              <w:rPr>
                <w:rFonts w:ascii="Arial" w:eastAsia="Arial" w:hAnsi="Arial" w:cs="Arial"/>
                <w:color w:val="000000"/>
                <w:sz w:val="24"/>
                <w:szCs w:val="24"/>
              </w:rPr>
              <w:t>means when an MI report:</w:t>
            </w:r>
          </w:p>
          <w:p w14:paraId="20962BF1" w14:textId="77777777" w:rsidR="005166B9" w:rsidRDefault="00FD4693">
            <w:pPr>
              <w:numPr>
                <w:ilvl w:val="1"/>
                <w:numId w:val="8"/>
              </w:numPr>
              <w:pBdr>
                <w:top w:val="nil"/>
                <w:left w:val="nil"/>
                <w:bottom w:val="nil"/>
                <w:right w:val="nil"/>
                <w:between w:val="nil"/>
              </w:pBdr>
              <w:tabs>
                <w:tab w:val="left" w:pos="-576"/>
                <w:tab w:val="left" w:pos="175"/>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contains any material errors or material omissions or a missing mandatory field; or  </w:t>
            </w:r>
          </w:p>
          <w:p w14:paraId="3C208BFA" w14:textId="77777777" w:rsidR="005166B9" w:rsidRDefault="00FD4693">
            <w:pPr>
              <w:numPr>
                <w:ilvl w:val="1"/>
                <w:numId w:val="8"/>
              </w:numPr>
              <w:pBdr>
                <w:top w:val="nil"/>
                <w:left w:val="nil"/>
                <w:bottom w:val="nil"/>
                <w:right w:val="nil"/>
                <w:between w:val="nil"/>
              </w:pBdr>
              <w:tabs>
                <w:tab w:val="left" w:pos="-576"/>
                <w:tab w:val="left" w:pos="175"/>
              </w:tabs>
              <w:spacing w:after="120"/>
              <w:ind w:left="720" w:hanging="544"/>
              <w:jc w:val="both"/>
              <w:rPr>
                <w:rFonts w:ascii="Arial" w:eastAsia="Arial" w:hAnsi="Arial" w:cs="Arial"/>
                <w:color w:val="000000"/>
                <w:sz w:val="24"/>
                <w:szCs w:val="24"/>
              </w:rPr>
            </w:pPr>
            <w:r>
              <w:rPr>
                <w:rFonts w:ascii="Arial" w:eastAsia="Arial" w:hAnsi="Arial" w:cs="Arial"/>
                <w:color w:val="000000"/>
                <w:sz w:val="24"/>
                <w:szCs w:val="24"/>
              </w:rPr>
              <w:lastRenderedPageBreak/>
              <w:t xml:space="preserve">is submitted using an incorrect MI reporting Template; or </w:t>
            </w:r>
          </w:p>
          <w:p w14:paraId="47A6BDFA" w14:textId="77777777" w:rsidR="005166B9" w:rsidRDefault="00FD4693">
            <w:pPr>
              <w:numPr>
                <w:ilvl w:val="1"/>
                <w:numId w:val="8"/>
              </w:numPr>
              <w:pBdr>
                <w:top w:val="nil"/>
                <w:left w:val="nil"/>
                <w:bottom w:val="nil"/>
                <w:right w:val="nil"/>
                <w:between w:val="nil"/>
              </w:pBdr>
              <w:tabs>
                <w:tab w:val="left" w:pos="-576"/>
                <w:tab w:val="left" w:pos="175"/>
              </w:tabs>
              <w:spacing w:after="120"/>
              <w:ind w:left="720" w:hanging="544"/>
              <w:rPr>
                <w:rFonts w:ascii="Arial" w:eastAsia="Arial" w:hAnsi="Arial" w:cs="Arial"/>
                <w:color w:val="000000"/>
                <w:sz w:val="24"/>
                <w:szCs w:val="24"/>
              </w:rPr>
            </w:pPr>
            <w:r>
              <w:rPr>
                <w:rFonts w:ascii="Arial" w:eastAsia="Arial" w:hAnsi="Arial" w:cs="Arial"/>
                <w:color w:val="000000"/>
                <w:sz w:val="24"/>
                <w:szCs w:val="24"/>
              </w:rPr>
              <w:t>is not submitted by the reporting date (including where a declaration of no business should have been filed);</w:t>
            </w:r>
          </w:p>
        </w:tc>
      </w:tr>
      <w:tr w:rsidR="005166B9" w14:paraId="426A4B96" w14:textId="77777777">
        <w:tc>
          <w:tcPr>
            <w:tcW w:w="2445" w:type="dxa"/>
          </w:tcPr>
          <w:p w14:paraId="524ABF5E" w14:textId="77777777" w:rsidR="005166B9" w:rsidRDefault="00FD469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"MI Report"</w:t>
            </w:r>
          </w:p>
        </w:tc>
        <w:tc>
          <w:tcPr>
            <w:tcW w:w="7515" w:type="dxa"/>
          </w:tcPr>
          <w:p w14:paraId="189C620D" w14:textId="77777777" w:rsidR="005166B9" w:rsidRDefault="00FD4693">
            <w:pPr>
              <w:pBdr>
                <w:top w:val="nil"/>
                <w:left w:val="nil"/>
                <w:bottom w:val="nil"/>
                <w:right w:val="nil"/>
                <w:between w:val="nil"/>
              </w:pBdr>
              <w:tabs>
                <w:tab w:val="left" w:pos="-179"/>
                <w:tab w:val="left" w:pos="175"/>
              </w:tabs>
              <w:spacing w:after="120"/>
              <w:ind w:left="170"/>
              <w:jc w:val="both"/>
              <w:rPr>
                <w:rFonts w:ascii="Arial" w:eastAsia="Arial" w:hAnsi="Arial" w:cs="Arial"/>
                <w:color w:val="000000"/>
                <w:sz w:val="24"/>
                <w:szCs w:val="24"/>
              </w:rPr>
            </w:pPr>
            <w:r>
              <w:rPr>
                <w:rFonts w:ascii="Arial" w:eastAsia="Arial" w:hAnsi="Arial" w:cs="Arial"/>
                <w:color w:val="000000"/>
                <w:sz w:val="24"/>
                <w:szCs w:val="24"/>
              </w:rPr>
              <w:t>means a report containing Management Information submitted to the Authority in accordance with Framework Schedule 5 (Management Charges and Information);</w:t>
            </w:r>
          </w:p>
        </w:tc>
      </w:tr>
      <w:tr w:rsidR="005166B9" w14:paraId="67C0F36B" w14:textId="77777777">
        <w:tc>
          <w:tcPr>
            <w:tcW w:w="2445" w:type="dxa"/>
          </w:tcPr>
          <w:p w14:paraId="02E2A28C" w14:textId="77777777" w:rsidR="005166B9" w:rsidRDefault="00FD469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"MI Reporting Template"</w:t>
            </w:r>
          </w:p>
        </w:tc>
        <w:tc>
          <w:tcPr>
            <w:tcW w:w="7515" w:type="dxa"/>
          </w:tcPr>
          <w:p w14:paraId="4B827B4C" w14:textId="77777777" w:rsidR="005166B9" w:rsidRDefault="00FD4693">
            <w:pPr>
              <w:pBdr>
                <w:top w:val="nil"/>
                <w:left w:val="nil"/>
                <w:bottom w:val="nil"/>
                <w:right w:val="nil"/>
                <w:between w:val="nil"/>
              </w:pBdr>
              <w:tabs>
                <w:tab w:val="left" w:pos="-179"/>
                <w:tab w:val="left" w:pos="175"/>
              </w:tabs>
              <w:spacing w:after="120"/>
              <w:ind w:left="170"/>
              <w:jc w:val="both"/>
              <w:rPr>
                <w:rFonts w:ascii="Arial" w:eastAsia="Arial" w:hAnsi="Arial" w:cs="Arial"/>
                <w:color w:val="000000"/>
                <w:sz w:val="24"/>
                <w:szCs w:val="24"/>
              </w:rPr>
            </w:pPr>
            <w:r>
              <w:rPr>
                <w:rFonts w:ascii="Arial" w:eastAsia="Arial" w:hAnsi="Arial" w:cs="Arial"/>
                <w:color w:val="000000"/>
                <w:sz w:val="24"/>
                <w:szCs w:val="24"/>
              </w:rPr>
              <w:t>means the form of report set out in the Annex to Framework Schedule 5 (Management Charges and Information) setting out the information the Supplier is required to supply to the Authority;</w:t>
            </w:r>
          </w:p>
        </w:tc>
      </w:tr>
      <w:tr w:rsidR="005166B9" w14:paraId="4D9ED136" w14:textId="77777777">
        <w:tc>
          <w:tcPr>
            <w:tcW w:w="2445" w:type="dxa"/>
          </w:tcPr>
          <w:p w14:paraId="7047346C" w14:textId="77777777" w:rsidR="005166B9" w:rsidRDefault="00FD469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"Milestone"</w:t>
            </w:r>
          </w:p>
        </w:tc>
        <w:tc>
          <w:tcPr>
            <w:tcW w:w="7515" w:type="dxa"/>
          </w:tcPr>
          <w:p w14:paraId="76B30A4B" w14:textId="77777777" w:rsidR="005166B9" w:rsidRDefault="00FD469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 event or task described in the Implementation Plan;</w:t>
            </w:r>
          </w:p>
        </w:tc>
      </w:tr>
      <w:tr w:rsidR="005166B9" w14:paraId="04455437" w14:textId="77777777">
        <w:tc>
          <w:tcPr>
            <w:tcW w:w="2445" w:type="dxa"/>
          </w:tcPr>
          <w:p w14:paraId="60CCE918" w14:textId="77777777" w:rsidR="005166B9" w:rsidRDefault="00FD469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"Milestone Date"</w:t>
            </w:r>
          </w:p>
        </w:tc>
        <w:tc>
          <w:tcPr>
            <w:tcW w:w="7515" w:type="dxa"/>
          </w:tcPr>
          <w:p w14:paraId="30172DD0" w14:textId="77777777" w:rsidR="005166B9" w:rsidRDefault="00FD469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target date set out against the relevant Milestone in the Implementation Plan by which the Milestone must be Achieved;</w:t>
            </w:r>
          </w:p>
        </w:tc>
      </w:tr>
      <w:tr w:rsidR="005166B9" w14:paraId="7FA2F01B" w14:textId="77777777">
        <w:tc>
          <w:tcPr>
            <w:tcW w:w="2445" w:type="dxa"/>
          </w:tcPr>
          <w:p w14:paraId="72BC78AD" w14:textId="77777777" w:rsidR="005166B9" w:rsidRDefault="00FD469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"Month"</w:t>
            </w:r>
          </w:p>
        </w:tc>
        <w:tc>
          <w:tcPr>
            <w:tcW w:w="7515" w:type="dxa"/>
          </w:tcPr>
          <w:p w14:paraId="436E759D" w14:textId="77777777" w:rsidR="005166B9" w:rsidRDefault="00FD469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 calendar month and "</w:t>
            </w:r>
            <w:r>
              <w:rPr>
                <w:rFonts w:ascii="Arial" w:eastAsia="Arial" w:hAnsi="Arial" w:cs="Arial"/>
                <w:b/>
                <w:color w:val="000000"/>
                <w:sz w:val="24"/>
                <w:szCs w:val="24"/>
              </w:rPr>
              <w:t>Monthly</w:t>
            </w:r>
            <w:r>
              <w:rPr>
                <w:rFonts w:ascii="Arial" w:eastAsia="Arial" w:hAnsi="Arial" w:cs="Arial"/>
                <w:color w:val="000000"/>
                <w:sz w:val="24"/>
                <w:szCs w:val="24"/>
              </w:rPr>
              <w:t>" shall be interpreted accordingly;</w:t>
            </w:r>
          </w:p>
        </w:tc>
      </w:tr>
      <w:tr w:rsidR="005166B9" w14:paraId="33162B80" w14:textId="77777777">
        <w:tc>
          <w:tcPr>
            <w:tcW w:w="2445" w:type="dxa"/>
          </w:tcPr>
          <w:p w14:paraId="28E2477A" w14:textId="77777777" w:rsidR="005166B9" w:rsidRDefault="00FD469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"National Insurance"</w:t>
            </w:r>
          </w:p>
        </w:tc>
        <w:tc>
          <w:tcPr>
            <w:tcW w:w="7515" w:type="dxa"/>
          </w:tcPr>
          <w:p w14:paraId="0BDCDCFA" w14:textId="77777777" w:rsidR="005166B9" w:rsidRDefault="00FD469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contributions required by the Social Security Contributions and Benefits Act 1992 and made in accordance with </w:t>
            </w:r>
            <w:proofErr w:type="gramStart"/>
            <w:r>
              <w:rPr>
                <w:rFonts w:ascii="Arial" w:eastAsia="Arial" w:hAnsi="Arial" w:cs="Arial"/>
                <w:color w:val="000000"/>
                <w:sz w:val="24"/>
                <w:szCs w:val="24"/>
              </w:rPr>
              <w:t>the  Social</w:t>
            </w:r>
            <w:proofErr w:type="gramEnd"/>
            <w:r>
              <w:rPr>
                <w:rFonts w:ascii="Arial" w:eastAsia="Arial" w:hAnsi="Arial" w:cs="Arial"/>
                <w:color w:val="000000"/>
                <w:sz w:val="24"/>
                <w:szCs w:val="24"/>
              </w:rPr>
              <w:t xml:space="preserve"> Security (Contributions) Regulations 2001 (SI 2001/1004);</w:t>
            </w:r>
          </w:p>
        </w:tc>
      </w:tr>
      <w:tr w:rsidR="005166B9" w14:paraId="5DE25FE3" w14:textId="77777777">
        <w:tc>
          <w:tcPr>
            <w:tcW w:w="2445" w:type="dxa"/>
          </w:tcPr>
          <w:p w14:paraId="748FAEAE" w14:textId="77777777" w:rsidR="005166B9" w:rsidRDefault="00FD469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"New IPR"</w:t>
            </w:r>
          </w:p>
        </w:tc>
        <w:tc>
          <w:tcPr>
            <w:tcW w:w="7515" w:type="dxa"/>
          </w:tcPr>
          <w:p w14:paraId="472D399A" w14:textId="77777777" w:rsidR="005166B9" w:rsidRDefault="00FD4693">
            <w:pPr>
              <w:numPr>
                <w:ilvl w:val="1"/>
                <w:numId w:val="23"/>
              </w:numPr>
              <w:pBdr>
                <w:top w:val="nil"/>
                <w:left w:val="nil"/>
                <w:bottom w:val="nil"/>
                <w:right w:val="nil"/>
                <w:between w:val="nil"/>
              </w:pBdr>
              <w:tabs>
                <w:tab w:val="left" w:pos="-576"/>
                <w:tab w:val="left" w:pos="144"/>
              </w:tabs>
              <w:spacing w:after="120"/>
              <w:jc w:val="both"/>
              <w:rPr>
                <w:rFonts w:ascii="Arial" w:eastAsia="Arial" w:hAnsi="Arial" w:cs="Arial"/>
                <w:color w:val="000000"/>
                <w:sz w:val="24"/>
                <w:szCs w:val="24"/>
              </w:rPr>
            </w:pPr>
            <w:r>
              <w:rPr>
                <w:rFonts w:ascii="Arial" w:eastAsia="Arial" w:hAnsi="Arial" w:cs="Arial"/>
                <w:color w:val="000000"/>
                <w:sz w:val="24"/>
                <w:szCs w:val="24"/>
              </w:rPr>
              <w:t>IPR in items created by the Supplier (or by a third party on behalf of the Supplier) specifically for the purposes of a Contract and updates and amendments of these items including (but not limited to) database schema; and/or</w:t>
            </w:r>
          </w:p>
          <w:p w14:paraId="2D07B478" w14:textId="77777777" w:rsidR="005166B9" w:rsidRDefault="00FD4693">
            <w:pPr>
              <w:numPr>
                <w:ilvl w:val="1"/>
                <w:numId w:val="23"/>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 xml:space="preserve">IPR in or arising as a result of the performance of the Supplier’s obligations under a Contract and all updates and amendments to the same; </w:t>
            </w:r>
          </w:p>
          <w:p w14:paraId="1BA32C2C" w14:textId="36500ABD" w:rsidR="005166B9" w:rsidRDefault="00FD469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but shall not include the Supplier’s Existing IPR</w:t>
            </w:r>
            <w:r w:rsidR="00B40E62">
              <w:rPr>
                <w:rFonts w:ascii="Arial" w:eastAsia="Arial" w:hAnsi="Arial" w:cs="Arial"/>
                <w:color w:val="000000"/>
                <w:sz w:val="24"/>
                <w:szCs w:val="24"/>
              </w:rPr>
              <w:t xml:space="preserve"> or Specially Written Software</w:t>
            </w:r>
            <w:r w:rsidR="0007677E">
              <w:rPr>
                <w:rFonts w:ascii="Arial" w:eastAsia="Arial" w:hAnsi="Arial" w:cs="Arial"/>
                <w:color w:val="000000"/>
                <w:sz w:val="24"/>
                <w:szCs w:val="24"/>
              </w:rPr>
              <w:t xml:space="preserve"> or output from Supplier Software created by the input of Buyer Existing IPR</w:t>
            </w:r>
            <w:r>
              <w:rPr>
                <w:rFonts w:ascii="Arial" w:eastAsia="Arial" w:hAnsi="Arial" w:cs="Arial"/>
                <w:color w:val="000000"/>
                <w:sz w:val="24"/>
                <w:szCs w:val="24"/>
              </w:rPr>
              <w:t>;</w:t>
            </w:r>
          </w:p>
        </w:tc>
      </w:tr>
      <w:tr w:rsidR="00B40E62" w14:paraId="4CC796A2" w14:textId="77777777">
        <w:tc>
          <w:tcPr>
            <w:tcW w:w="2445" w:type="dxa"/>
          </w:tcPr>
          <w:p w14:paraId="75A0FB58" w14:textId="5D0A91BE" w:rsidR="00B40E62" w:rsidRDefault="00B40E62" w:rsidP="00B40E6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"New IPR Item"</w:t>
            </w:r>
          </w:p>
        </w:tc>
        <w:tc>
          <w:tcPr>
            <w:tcW w:w="7515" w:type="dxa"/>
          </w:tcPr>
          <w:p w14:paraId="3BD746E5" w14:textId="7986088D" w:rsidR="00B40E62" w:rsidRDefault="00B40E62" w:rsidP="00F96617">
            <w:pPr>
              <w:pBdr>
                <w:top w:val="nil"/>
                <w:left w:val="nil"/>
                <w:bottom w:val="nil"/>
                <w:right w:val="nil"/>
                <w:between w:val="nil"/>
              </w:pBdr>
              <w:tabs>
                <w:tab w:val="left" w:pos="-576"/>
                <w:tab w:val="left" w:pos="144"/>
              </w:tabs>
              <w:spacing w:after="120"/>
              <w:ind w:left="432"/>
              <w:jc w:val="both"/>
              <w:rPr>
                <w:rFonts w:ascii="Arial" w:eastAsia="Arial" w:hAnsi="Arial" w:cs="Arial"/>
                <w:color w:val="000000"/>
                <w:sz w:val="24"/>
                <w:szCs w:val="24"/>
              </w:rPr>
            </w:pPr>
            <w:r>
              <w:rPr>
                <w:rFonts w:ascii="Arial" w:eastAsia="Arial" w:hAnsi="Arial" w:cs="Arial"/>
                <w:color w:val="000000"/>
                <w:sz w:val="24"/>
                <w:szCs w:val="24"/>
              </w:rPr>
              <w:t>means a deliverable, document, product or other item within which New IPR subsists;</w:t>
            </w:r>
          </w:p>
        </w:tc>
      </w:tr>
      <w:tr w:rsidR="00B40E62" w14:paraId="60F7FB4E" w14:textId="77777777">
        <w:tc>
          <w:tcPr>
            <w:tcW w:w="2445" w:type="dxa"/>
          </w:tcPr>
          <w:p w14:paraId="477ED9EE" w14:textId="59EB4DE3" w:rsidR="00B40E62" w:rsidRDefault="00B40E62" w:rsidP="00B40E6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"Object Code"</w:t>
            </w:r>
          </w:p>
        </w:tc>
        <w:tc>
          <w:tcPr>
            <w:tcW w:w="7515" w:type="dxa"/>
          </w:tcPr>
          <w:p w14:paraId="687B65A9" w14:textId="3317E996" w:rsidR="00B40E62" w:rsidRDefault="00B40E62" w:rsidP="00B40E6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sidRPr="004D417A">
              <w:rPr>
                <w:rFonts w:ascii="Arial" w:eastAsia="Arial" w:hAnsi="Arial" w:cs="Arial"/>
                <w:color w:val="000000"/>
                <w:sz w:val="24"/>
                <w:szCs w:val="24"/>
              </w:rPr>
              <w:t>software and/or data in machine-readable complied object code form</w:t>
            </w:r>
            <w:r>
              <w:rPr>
                <w:rFonts w:ascii="Arial" w:eastAsia="Arial" w:hAnsi="Arial" w:cs="Arial"/>
                <w:color w:val="000000"/>
                <w:sz w:val="24"/>
                <w:szCs w:val="24"/>
              </w:rPr>
              <w:t>;</w:t>
            </w:r>
          </w:p>
        </w:tc>
      </w:tr>
      <w:tr w:rsidR="005166B9" w14:paraId="1883A905" w14:textId="77777777">
        <w:tc>
          <w:tcPr>
            <w:tcW w:w="2445" w:type="dxa"/>
          </w:tcPr>
          <w:p w14:paraId="50856161" w14:textId="77777777" w:rsidR="005166B9" w:rsidRDefault="00FD469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"Occasion of Tax Non–Compliance"</w:t>
            </w:r>
          </w:p>
        </w:tc>
        <w:tc>
          <w:tcPr>
            <w:tcW w:w="7515" w:type="dxa"/>
          </w:tcPr>
          <w:p w14:paraId="27F59EE1" w14:textId="77777777" w:rsidR="005166B9" w:rsidRDefault="00FD469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where: </w:t>
            </w:r>
          </w:p>
          <w:p w14:paraId="14DCF302" w14:textId="77777777" w:rsidR="005166B9" w:rsidRDefault="00FD4693">
            <w:pPr>
              <w:numPr>
                <w:ilvl w:val="1"/>
                <w:numId w:val="24"/>
              </w:numPr>
              <w:pBdr>
                <w:top w:val="nil"/>
                <w:left w:val="nil"/>
                <w:bottom w:val="nil"/>
                <w:right w:val="nil"/>
                <w:between w:val="nil"/>
              </w:pBdr>
              <w:tabs>
                <w:tab w:val="left" w:pos="-576"/>
                <w:tab w:val="left" w:pos="144"/>
              </w:tabs>
              <w:spacing w:after="120"/>
              <w:jc w:val="both"/>
              <w:rPr>
                <w:rFonts w:ascii="Arial" w:eastAsia="Arial" w:hAnsi="Arial" w:cs="Arial"/>
                <w:color w:val="000000"/>
                <w:sz w:val="24"/>
                <w:szCs w:val="24"/>
              </w:rPr>
            </w:pPr>
            <w:r>
              <w:rPr>
                <w:rFonts w:ascii="Arial" w:eastAsia="Arial" w:hAnsi="Arial" w:cs="Arial"/>
                <w:color w:val="000000"/>
                <w:sz w:val="24"/>
                <w:szCs w:val="24"/>
              </w:rPr>
              <w:t>any Tax return of the Supplier submitted to a Relevant Tax Authority on or after 1 October 2012 is found on or after 1 April 2013 to be incorrect as a result of:</w:t>
            </w:r>
          </w:p>
          <w:p w14:paraId="7B636253" w14:textId="77777777" w:rsidR="005166B9" w:rsidRDefault="00FD4693">
            <w:pPr>
              <w:numPr>
                <w:ilvl w:val="2"/>
                <w:numId w:val="24"/>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a Relevant Tax Authority successfully challenging the Supplier under the General Anti-Abuse Rule or the Halifax Abuse Principle or under any Tax rules or legislation in any jurisdiction that have an effect equivalent or similar to the General Anti-Abuse Rule or the Halifax Abuse Principle;</w:t>
            </w:r>
          </w:p>
          <w:p w14:paraId="2EBFF8BF" w14:textId="77777777" w:rsidR="005166B9" w:rsidRDefault="00FD4693">
            <w:pPr>
              <w:numPr>
                <w:ilvl w:val="2"/>
                <w:numId w:val="24"/>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the failure of an avoidance scheme which the Supplier was involved in, and which was, or should have been, notified to a Relevant Tax Authority under the DOTAS or any equivalent or similar regime in any jurisdiction; and/or</w:t>
            </w:r>
          </w:p>
          <w:p w14:paraId="15B69520" w14:textId="77777777" w:rsidR="005166B9" w:rsidRDefault="00FD4693">
            <w:pPr>
              <w:numPr>
                <w:ilvl w:val="1"/>
                <w:numId w:val="24"/>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lastRenderedPageBreak/>
              <w:t>any Tax return of the Supplier submitted to a Relevant Tax Authority on or after 1 October 2012 which gives rise, on or after 1 April 2013, to a criminal conviction in any jurisdiction for Tax related offences which is not spent at the Start Date or to a civil penalty for fraud or evasion;</w:t>
            </w:r>
          </w:p>
        </w:tc>
      </w:tr>
      <w:tr w:rsidR="005166B9" w14:paraId="521911C3" w14:textId="77777777">
        <w:tc>
          <w:tcPr>
            <w:tcW w:w="2445" w:type="dxa"/>
          </w:tcPr>
          <w:p w14:paraId="0DF7E7BB" w14:textId="5B9D15D8" w:rsidR="005166B9" w:rsidRDefault="00FD469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"Open Book Data"</w:t>
            </w:r>
          </w:p>
        </w:tc>
        <w:tc>
          <w:tcPr>
            <w:tcW w:w="7515" w:type="dxa"/>
          </w:tcPr>
          <w:p w14:paraId="7A81AC46" w14:textId="77777777" w:rsidR="005166B9" w:rsidRDefault="00FD469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complete and accurate financial and non-financial information which is sufficient to enable the Buyer to verify the Charges already paid or payable and Charges forecast to be paid during the remainder of the Call-Off Contract, including details and all assumptions relating to:</w:t>
            </w:r>
          </w:p>
          <w:p w14:paraId="5BBAF43C" w14:textId="77777777" w:rsidR="005166B9" w:rsidRDefault="00FD4693">
            <w:pPr>
              <w:numPr>
                <w:ilvl w:val="1"/>
                <w:numId w:val="25"/>
              </w:numPr>
              <w:pBdr>
                <w:top w:val="nil"/>
                <w:left w:val="nil"/>
                <w:bottom w:val="nil"/>
                <w:right w:val="nil"/>
                <w:between w:val="nil"/>
              </w:pBdr>
              <w:tabs>
                <w:tab w:val="left" w:pos="-576"/>
                <w:tab w:val="left" w:pos="144"/>
              </w:tabs>
              <w:spacing w:after="120"/>
              <w:jc w:val="both"/>
              <w:rPr>
                <w:rFonts w:ascii="Arial" w:eastAsia="Arial" w:hAnsi="Arial" w:cs="Arial"/>
                <w:color w:val="000000"/>
                <w:sz w:val="24"/>
                <w:szCs w:val="24"/>
              </w:rPr>
            </w:pPr>
            <w:r>
              <w:rPr>
                <w:rFonts w:ascii="Arial" w:eastAsia="Arial" w:hAnsi="Arial" w:cs="Arial"/>
                <w:color w:val="000000"/>
                <w:sz w:val="24"/>
                <w:szCs w:val="24"/>
              </w:rPr>
              <w:t>the Supplier’s Costs broken down against each Good and/or Service and/or Deliverable, including actual capital expenditure (including capital replacement costs) and the unit cost and total actual costs of all Deliverables;</w:t>
            </w:r>
          </w:p>
          <w:p w14:paraId="2E3896E9" w14:textId="77777777" w:rsidR="005166B9" w:rsidRDefault="00FD4693">
            <w:pPr>
              <w:numPr>
                <w:ilvl w:val="1"/>
                <w:numId w:val="25"/>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operating expenditure relating to the provision of the Deliverables including an analysis showing:</w:t>
            </w:r>
          </w:p>
          <w:p w14:paraId="4C023ED0" w14:textId="77777777" w:rsidR="005166B9" w:rsidRDefault="00FD4693">
            <w:pPr>
              <w:numPr>
                <w:ilvl w:val="2"/>
                <w:numId w:val="25"/>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the unit costs and quantity of Goods and any other consumables and bought-in Deliverables;</w:t>
            </w:r>
          </w:p>
          <w:p w14:paraId="0D30870F" w14:textId="77777777" w:rsidR="005166B9" w:rsidRDefault="00FD4693">
            <w:pPr>
              <w:numPr>
                <w:ilvl w:val="2"/>
                <w:numId w:val="25"/>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staff costs broken down into the number and grade/role of all Supplier Staff (free of any contingency) together with a list of agreed rates against each grade;</w:t>
            </w:r>
          </w:p>
          <w:p w14:paraId="19BA0798" w14:textId="77777777" w:rsidR="005166B9" w:rsidRDefault="00FD4693">
            <w:pPr>
              <w:numPr>
                <w:ilvl w:val="2"/>
                <w:numId w:val="25"/>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a list of Costs underpinning those rates for each grade, being the agreed rate less the Supplier Profit Margin; and</w:t>
            </w:r>
          </w:p>
          <w:p w14:paraId="10C20E17" w14:textId="77777777" w:rsidR="005166B9" w:rsidRDefault="00FD4693">
            <w:pPr>
              <w:numPr>
                <w:ilvl w:val="2"/>
                <w:numId w:val="25"/>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 xml:space="preserve">Reimbursable Expenses, if allowed under the Order Form; </w:t>
            </w:r>
          </w:p>
          <w:p w14:paraId="7FA340D9" w14:textId="77777777" w:rsidR="005166B9" w:rsidRDefault="00FD4693">
            <w:pPr>
              <w:numPr>
                <w:ilvl w:val="1"/>
                <w:numId w:val="25"/>
              </w:numPr>
              <w:pBdr>
                <w:top w:val="nil"/>
                <w:left w:val="nil"/>
                <w:bottom w:val="nil"/>
                <w:right w:val="nil"/>
                <w:between w:val="nil"/>
              </w:pBdr>
              <w:tabs>
                <w:tab w:val="left" w:pos="-576"/>
                <w:tab w:val="left" w:pos="144"/>
              </w:tabs>
              <w:spacing w:after="120"/>
              <w:ind w:left="576" w:hanging="432"/>
              <w:jc w:val="both"/>
              <w:rPr>
                <w:rFonts w:ascii="Arial" w:eastAsia="Arial" w:hAnsi="Arial" w:cs="Arial"/>
                <w:color w:val="000000"/>
                <w:sz w:val="24"/>
                <w:szCs w:val="24"/>
              </w:rPr>
            </w:pPr>
            <w:r>
              <w:rPr>
                <w:rFonts w:ascii="Arial" w:eastAsia="Arial" w:hAnsi="Arial" w:cs="Arial"/>
                <w:color w:val="000000"/>
                <w:sz w:val="24"/>
                <w:szCs w:val="24"/>
              </w:rPr>
              <w:t xml:space="preserve">Overheads; </w:t>
            </w:r>
          </w:p>
          <w:p w14:paraId="34FBC363" w14:textId="77777777" w:rsidR="005166B9" w:rsidRDefault="00FD4693">
            <w:pPr>
              <w:numPr>
                <w:ilvl w:val="1"/>
                <w:numId w:val="25"/>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 xml:space="preserve">all interest, expenses and any other </w:t>
            </w:r>
            <w:proofErr w:type="gramStart"/>
            <w:r>
              <w:rPr>
                <w:rFonts w:ascii="Arial" w:eastAsia="Arial" w:hAnsi="Arial" w:cs="Arial"/>
                <w:color w:val="000000"/>
                <w:sz w:val="24"/>
                <w:szCs w:val="24"/>
              </w:rPr>
              <w:t>third party</w:t>
            </w:r>
            <w:proofErr w:type="gramEnd"/>
            <w:r>
              <w:rPr>
                <w:rFonts w:ascii="Arial" w:eastAsia="Arial" w:hAnsi="Arial" w:cs="Arial"/>
                <w:color w:val="000000"/>
                <w:sz w:val="24"/>
                <w:szCs w:val="24"/>
              </w:rPr>
              <w:t xml:space="preserve"> financing costs incurred in relation to the provision of the Deliverables;</w:t>
            </w:r>
          </w:p>
          <w:p w14:paraId="39837EDD" w14:textId="77777777" w:rsidR="005166B9" w:rsidRDefault="00FD4693">
            <w:pPr>
              <w:numPr>
                <w:ilvl w:val="1"/>
                <w:numId w:val="25"/>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the Supplier Profit achieved over the Framework Contract Period and on an annual basis;</w:t>
            </w:r>
          </w:p>
          <w:p w14:paraId="04A6AC38" w14:textId="77777777" w:rsidR="005166B9" w:rsidRDefault="00FD4693">
            <w:pPr>
              <w:numPr>
                <w:ilvl w:val="1"/>
                <w:numId w:val="25"/>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confirmation that all methods of Cost apportionment and Overhead allocation are consistent with and not more onerous than such methods applied generally by the Supplier;</w:t>
            </w:r>
          </w:p>
          <w:p w14:paraId="0929A236" w14:textId="77777777" w:rsidR="005166B9" w:rsidRDefault="00FD4693">
            <w:pPr>
              <w:numPr>
                <w:ilvl w:val="1"/>
                <w:numId w:val="25"/>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an explanation of the type and value of risk and contingencies associated with the provision of the Deliverables, including the amount of money attributed to each risk and/or contingency; and</w:t>
            </w:r>
          </w:p>
          <w:p w14:paraId="1D409822" w14:textId="77777777" w:rsidR="005166B9" w:rsidRDefault="00FD4693">
            <w:pPr>
              <w:numPr>
                <w:ilvl w:val="1"/>
                <w:numId w:val="25"/>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the actual Costs profile for each Service Period;</w:t>
            </w:r>
          </w:p>
        </w:tc>
      </w:tr>
      <w:tr w:rsidR="003B2492" w14:paraId="3BC3A46E" w14:textId="77777777">
        <w:tc>
          <w:tcPr>
            <w:tcW w:w="2445" w:type="dxa"/>
          </w:tcPr>
          <w:p w14:paraId="5DCFD4B7" w14:textId="350F5CCA" w:rsidR="003B2492" w:rsidRDefault="003B2492" w:rsidP="003B249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"Open Licence"</w:t>
            </w:r>
          </w:p>
        </w:tc>
        <w:tc>
          <w:tcPr>
            <w:tcW w:w="7515" w:type="dxa"/>
          </w:tcPr>
          <w:p w14:paraId="09206B5E" w14:textId="29677C76" w:rsidR="003B2492" w:rsidRDefault="003B2492" w:rsidP="003B249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means any material that is published for use, with rights to access, copy, modify and publish, by any person for free, under a generally recognised open licence including Open Government Licence as set out at </w:t>
            </w:r>
            <w:hyperlink r:id="rId9">
              <w:r>
                <w:rPr>
                  <w:rFonts w:ascii="Arial" w:eastAsia="Arial" w:hAnsi="Arial" w:cs="Arial"/>
                  <w:color w:val="0000FF"/>
                  <w:sz w:val="24"/>
                  <w:szCs w:val="24"/>
                  <w:u w:val="single"/>
                </w:rPr>
                <w:t>http://www.nationalarchives.gov.uk/doc/open-government-licence/version/3/</w:t>
              </w:r>
            </w:hyperlink>
            <w:r>
              <w:rPr>
                <w:rFonts w:ascii="Arial" w:eastAsia="Arial" w:hAnsi="Arial" w:cs="Arial"/>
                <w:color w:val="000000"/>
                <w:sz w:val="24"/>
                <w:szCs w:val="24"/>
              </w:rPr>
              <w:t xml:space="preserve"> and the Open Standards Principles documented at </w:t>
            </w:r>
            <w:hyperlink r:id="rId10">
              <w:r>
                <w:rPr>
                  <w:rFonts w:ascii="Arial" w:eastAsia="Arial" w:hAnsi="Arial" w:cs="Arial"/>
                  <w:color w:val="0000FF"/>
                  <w:sz w:val="24"/>
                  <w:szCs w:val="24"/>
                  <w:u w:val="single"/>
                </w:rPr>
                <w:t>https://www.gov.uk/government/publications/open-standards-principles/open-standards-principles</w:t>
              </w:r>
            </w:hyperlink>
            <w:r>
              <w:rPr>
                <w:rFonts w:ascii="Arial" w:eastAsia="Arial" w:hAnsi="Arial" w:cs="Arial"/>
                <w:color w:val="0000FF"/>
                <w:sz w:val="24"/>
                <w:szCs w:val="24"/>
                <w:u w:val="single"/>
              </w:rPr>
              <w:t xml:space="preserve">, </w:t>
            </w:r>
            <w:r>
              <w:rPr>
                <w:rFonts w:ascii="Arial" w:eastAsia="Arial" w:hAnsi="Arial" w:cs="Arial"/>
                <w:color w:val="000000"/>
                <w:sz w:val="24"/>
                <w:szCs w:val="24"/>
              </w:rPr>
              <w:t xml:space="preserve"> </w:t>
            </w:r>
            <w:r w:rsidRPr="00205D1C">
              <w:rPr>
                <w:rFonts w:ascii="Arial" w:eastAsia="Arial" w:hAnsi="Arial" w:cs="Arial"/>
                <w:color w:val="000000"/>
                <w:sz w:val="24"/>
                <w:szCs w:val="24"/>
              </w:rPr>
              <w:t>and includes the Open Source publication of Software;</w:t>
            </w:r>
          </w:p>
        </w:tc>
      </w:tr>
      <w:tr w:rsidR="003B2492" w14:paraId="0E05B3DF" w14:textId="77777777">
        <w:tc>
          <w:tcPr>
            <w:tcW w:w="2445" w:type="dxa"/>
          </w:tcPr>
          <w:p w14:paraId="224EF484" w14:textId="6C38C3C5" w:rsidR="003B2492" w:rsidRDefault="003B2492" w:rsidP="003B249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"Open Licence Publication Material"</w:t>
            </w:r>
          </w:p>
        </w:tc>
        <w:tc>
          <w:tcPr>
            <w:tcW w:w="7515" w:type="dxa"/>
          </w:tcPr>
          <w:p w14:paraId="4A071D8E" w14:textId="58BB428B" w:rsidR="003B2492" w:rsidRDefault="003B2492" w:rsidP="003B249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means items created pursuant to this Contract which the Buyer may wish to publish as Open Licence which are supplied in a format suitable for publication under Open Licence;</w:t>
            </w:r>
          </w:p>
        </w:tc>
      </w:tr>
      <w:tr w:rsidR="003B2492" w14:paraId="293B4E44" w14:textId="77777777">
        <w:tc>
          <w:tcPr>
            <w:tcW w:w="2445" w:type="dxa"/>
          </w:tcPr>
          <w:p w14:paraId="6E33C868" w14:textId="21396808" w:rsidR="003B2492" w:rsidRDefault="003B2492" w:rsidP="003B249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"Open Source"</w:t>
            </w:r>
          </w:p>
        </w:tc>
        <w:tc>
          <w:tcPr>
            <w:tcW w:w="7515" w:type="dxa"/>
          </w:tcPr>
          <w:p w14:paraId="539C2B70" w14:textId="3258D126" w:rsidR="003B2492" w:rsidRDefault="003B2492" w:rsidP="003B249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sidRPr="00205D1C">
              <w:rPr>
                <w:rFonts w:ascii="Arial" w:eastAsia="Arial" w:hAnsi="Arial" w:cs="Arial"/>
                <w:color w:val="000000"/>
                <w:sz w:val="24"/>
                <w:szCs w:val="24"/>
              </w:rPr>
              <w:t>computer Software that is released on the internet for use by any person, such release usually being made under a recognised open source licence and stating that it is released as open source;</w:t>
            </w:r>
          </w:p>
        </w:tc>
      </w:tr>
      <w:tr w:rsidR="005166B9" w14:paraId="78D63474" w14:textId="77777777">
        <w:tc>
          <w:tcPr>
            <w:tcW w:w="2445" w:type="dxa"/>
          </w:tcPr>
          <w:p w14:paraId="26CB55A2" w14:textId="77777777" w:rsidR="005166B9" w:rsidRDefault="00FD469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"Order"</w:t>
            </w:r>
          </w:p>
        </w:tc>
        <w:tc>
          <w:tcPr>
            <w:tcW w:w="7515" w:type="dxa"/>
          </w:tcPr>
          <w:p w14:paraId="61A101FD" w14:textId="77777777" w:rsidR="005166B9" w:rsidRDefault="00FD469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means an order for the provision of the Deliverables placed by a Buyer with the Supplier under a Contract;</w:t>
            </w:r>
          </w:p>
        </w:tc>
      </w:tr>
      <w:tr w:rsidR="005166B9" w14:paraId="5D9B248C" w14:textId="77777777">
        <w:tc>
          <w:tcPr>
            <w:tcW w:w="2445" w:type="dxa"/>
          </w:tcPr>
          <w:p w14:paraId="4CA73569" w14:textId="77777777" w:rsidR="005166B9" w:rsidRDefault="00FD469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"Order Form"</w:t>
            </w:r>
          </w:p>
        </w:tc>
        <w:tc>
          <w:tcPr>
            <w:tcW w:w="7515" w:type="dxa"/>
          </w:tcPr>
          <w:p w14:paraId="45B8CCF1" w14:textId="77777777" w:rsidR="005166B9" w:rsidRDefault="00FD469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 completed Order Form Template (or equivalent information issued by the Buyer) used to create a Call-Off Contract;</w:t>
            </w:r>
          </w:p>
        </w:tc>
      </w:tr>
      <w:tr w:rsidR="005166B9" w14:paraId="700A7AFC" w14:textId="77777777">
        <w:tc>
          <w:tcPr>
            <w:tcW w:w="2445" w:type="dxa"/>
          </w:tcPr>
          <w:p w14:paraId="23D5F763" w14:textId="77777777" w:rsidR="005166B9" w:rsidRDefault="00FD469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"Order Form Template"</w:t>
            </w:r>
          </w:p>
        </w:tc>
        <w:tc>
          <w:tcPr>
            <w:tcW w:w="7515" w:type="dxa"/>
          </w:tcPr>
          <w:p w14:paraId="62805359" w14:textId="77777777" w:rsidR="005166B9" w:rsidRDefault="00FD469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template in Framework Schedule 6 (Order Form Template and Call-Off Schedules);</w:t>
            </w:r>
          </w:p>
        </w:tc>
      </w:tr>
      <w:tr w:rsidR="005166B9" w14:paraId="2C3D1062" w14:textId="77777777">
        <w:tc>
          <w:tcPr>
            <w:tcW w:w="2445" w:type="dxa"/>
          </w:tcPr>
          <w:p w14:paraId="5D1D06D6" w14:textId="77777777" w:rsidR="005166B9" w:rsidRDefault="00FD469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"Other Contracting Authority"</w:t>
            </w:r>
          </w:p>
        </w:tc>
        <w:tc>
          <w:tcPr>
            <w:tcW w:w="7515" w:type="dxa"/>
          </w:tcPr>
          <w:p w14:paraId="3D9C3228" w14:textId="77777777" w:rsidR="005166B9" w:rsidRDefault="00FD469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actual or potential Buyer under the Framework Contract;</w:t>
            </w:r>
          </w:p>
        </w:tc>
      </w:tr>
      <w:tr w:rsidR="005166B9" w14:paraId="2E441560" w14:textId="77777777">
        <w:tc>
          <w:tcPr>
            <w:tcW w:w="2445" w:type="dxa"/>
          </w:tcPr>
          <w:p w14:paraId="3DAA5000" w14:textId="77777777" w:rsidR="005166B9" w:rsidRDefault="00FD4693">
            <w:pPr>
              <w:keepNext/>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"Overhead"</w:t>
            </w:r>
          </w:p>
        </w:tc>
        <w:tc>
          <w:tcPr>
            <w:tcW w:w="7515" w:type="dxa"/>
          </w:tcPr>
          <w:p w14:paraId="49CBE604" w14:textId="77777777" w:rsidR="005166B9" w:rsidRDefault="00FD469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those amounts which are intended to recover a proportion of the Supplier’s or the Key Subcontractor’s (as the context requires) indirect corporate costs (including financing, marketing, advertising, research and development and insurance costs and any fines or penalties) but excluding allowable indirect costs apportioned to facilities and administration in the provision of Supplier Staff and accordingly included within limb (a) of the definition of "Costs";</w:t>
            </w:r>
          </w:p>
        </w:tc>
      </w:tr>
      <w:tr w:rsidR="00246275" w14:paraId="6738D068" w14:textId="77777777">
        <w:tc>
          <w:tcPr>
            <w:tcW w:w="2445" w:type="dxa"/>
          </w:tcPr>
          <w:p w14:paraId="04F4C943" w14:textId="77777777" w:rsidR="00246275" w:rsidRDefault="00246275" w:rsidP="00246275">
            <w:pPr>
              <w:keepNext/>
              <w:pBdr>
                <w:top w:val="nil"/>
                <w:left w:val="nil"/>
                <w:bottom w:val="nil"/>
                <w:right w:val="nil"/>
                <w:between w:val="nil"/>
              </w:pBdr>
              <w:spacing w:after="120"/>
              <w:ind w:left="-108"/>
              <w:rPr>
                <w:rFonts w:ascii="Arial" w:eastAsia="Arial" w:hAnsi="Arial" w:cs="Arial"/>
                <w:b/>
                <w:color w:val="000000"/>
                <w:sz w:val="24"/>
                <w:szCs w:val="24"/>
              </w:rPr>
            </w:pPr>
            <w:r w:rsidRPr="0097484D">
              <w:rPr>
                <w:rFonts w:ascii="Arial" w:hAnsi="Arial" w:cs="Arial"/>
                <w:b/>
                <w:sz w:val="24"/>
                <w:szCs w:val="24"/>
              </w:rPr>
              <w:t>“Parent Undertaking”</w:t>
            </w:r>
          </w:p>
        </w:tc>
        <w:tc>
          <w:tcPr>
            <w:tcW w:w="7515" w:type="dxa"/>
          </w:tcPr>
          <w:p w14:paraId="3DD9CA75" w14:textId="77777777" w:rsidR="00246275" w:rsidRDefault="00246275" w:rsidP="00246275">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sidRPr="0097484D">
              <w:rPr>
                <w:rFonts w:ascii="Arial" w:hAnsi="Arial" w:cs="Arial"/>
                <w:sz w:val="24"/>
                <w:szCs w:val="24"/>
              </w:rPr>
              <w:t>has the meaning set out in section 1162 of the Companies Act 2006;</w:t>
            </w:r>
          </w:p>
        </w:tc>
      </w:tr>
      <w:tr w:rsidR="005166B9" w14:paraId="3B3441F7" w14:textId="77777777">
        <w:tc>
          <w:tcPr>
            <w:tcW w:w="2445" w:type="dxa"/>
          </w:tcPr>
          <w:p w14:paraId="09A000D3" w14:textId="77777777" w:rsidR="005166B9" w:rsidRDefault="00FD4693">
            <w:pPr>
              <w:keepNext/>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"Parliament"</w:t>
            </w:r>
          </w:p>
        </w:tc>
        <w:tc>
          <w:tcPr>
            <w:tcW w:w="7515" w:type="dxa"/>
          </w:tcPr>
          <w:p w14:paraId="5A4C465D" w14:textId="77777777" w:rsidR="005166B9" w:rsidRDefault="00FD469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takes its natural meaning as interpreted by Law;</w:t>
            </w:r>
          </w:p>
        </w:tc>
      </w:tr>
      <w:tr w:rsidR="005166B9" w14:paraId="69AA8DB4" w14:textId="77777777">
        <w:tc>
          <w:tcPr>
            <w:tcW w:w="2445" w:type="dxa"/>
          </w:tcPr>
          <w:p w14:paraId="5ED374F3" w14:textId="77777777" w:rsidR="005166B9" w:rsidRDefault="00FD469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"Party"</w:t>
            </w:r>
          </w:p>
        </w:tc>
        <w:tc>
          <w:tcPr>
            <w:tcW w:w="7515" w:type="dxa"/>
          </w:tcPr>
          <w:p w14:paraId="713A6E68" w14:textId="77777777" w:rsidR="005166B9" w:rsidRDefault="00FD469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in the context of the Framework Contract, CCS or the Supplier, and in the in the context of a Call-Off Contract the Buyer or the Supplier. "</w:t>
            </w:r>
            <w:r>
              <w:rPr>
                <w:rFonts w:ascii="Arial" w:eastAsia="Arial" w:hAnsi="Arial" w:cs="Arial"/>
                <w:b/>
                <w:color w:val="000000"/>
                <w:sz w:val="24"/>
                <w:szCs w:val="24"/>
              </w:rPr>
              <w:t>Parties</w:t>
            </w:r>
            <w:r>
              <w:rPr>
                <w:rFonts w:ascii="Arial" w:eastAsia="Arial" w:hAnsi="Arial" w:cs="Arial"/>
                <w:color w:val="000000"/>
                <w:sz w:val="24"/>
                <w:szCs w:val="24"/>
              </w:rPr>
              <w:t>" shall mean both of them where the context permits;</w:t>
            </w:r>
          </w:p>
        </w:tc>
      </w:tr>
      <w:tr w:rsidR="005166B9" w14:paraId="7CFADFF7" w14:textId="77777777">
        <w:tc>
          <w:tcPr>
            <w:tcW w:w="2445" w:type="dxa"/>
          </w:tcPr>
          <w:p w14:paraId="4F0B3165" w14:textId="77777777" w:rsidR="005166B9" w:rsidRDefault="00FD469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"Performance Indicators" or "PIs"</w:t>
            </w:r>
          </w:p>
        </w:tc>
        <w:tc>
          <w:tcPr>
            <w:tcW w:w="7515" w:type="dxa"/>
          </w:tcPr>
          <w:p w14:paraId="7B72C4F5" w14:textId="77777777" w:rsidR="005166B9" w:rsidRDefault="00FD469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performance measurements and targets in respect of the Supplier’s performance of the Framework Contract set out in Framework Schedule 4 (Framework Management);</w:t>
            </w:r>
          </w:p>
        </w:tc>
      </w:tr>
      <w:tr w:rsidR="005166B9" w14:paraId="271686FC" w14:textId="77777777">
        <w:tc>
          <w:tcPr>
            <w:tcW w:w="2445" w:type="dxa"/>
          </w:tcPr>
          <w:p w14:paraId="3F6EF566" w14:textId="77777777" w:rsidR="005166B9" w:rsidRDefault="00FD469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"Personal Data"</w:t>
            </w:r>
          </w:p>
        </w:tc>
        <w:tc>
          <w:tcPr>
            <w:tcW w:w="7515" w:type="dxa"/>
          </w:tcPr>
          <w:p w14:paraId="1EC92ED6" w14:textId="77777777" w:rsidR="005166B9" w:rsidRDefault="00FD469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has the meaning given to it in the UK GDPR;</w:t>
            </w:r>
          </w:p>
        </w:tc>
      </w:tr>
      <w:tr w:rsidR="005166B9" w14:paraId="5ED69387" w14:textId="77777777">
        <w:tc>
          <w:tcPr>
            <w:tcW w:w="2445" w:type="dxa"/>
          </w:tcPr>
          <w:p w14:paraId="264530B7" w14:textId="77777777" w:rsidR="005166B9" w:rsidRDefault="00FD469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“Personal Data Breach”</w:t>
            </w:r>
          </w:p>
        </w:tc>
        <w:tc>
          <w:tcPr>
            <w:tcW w:w="7515" w:type="dxa"/>
          </w:tcPr>
          <w:p w14:paraId="476A94AD" w14:textId="4096427A" w:rsidR="005166B9" w:rsidRDefault="00C32DE0">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event that results, or may result, in unauthorised access to Personal Data held under this Contract, and/or actual or potential loss and/or destruction of Personal Data in breach of this Contract, including any Personal Data Breach as defined by UK GDPR;</w:t>
            </w:r>
          </w:p>
        </w:tc>
      </w:tr>
      <w:tr w:rsidR="005166B9" w14:paraId="60F468F6" w14:textId="77777777">
        <w:tc>
          <w:tcPr>
            <w:tcW w:w="2445" w:type="dxa"/>
          </w:tcPr>
          <w:p w14:paraId="68E68459" w14:textId="77777777" w:rsidR="005166B9" w:rsidRDefault="00FD469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“Personnel”</w:t>
            </w:r>
          </w:p>
        </w:tc>
        <w:tc>
          <w:tcPr>
            <w:tcW w:w="7515" w:type="dxa"/>
          </w:tcPr>
          <w:p w14:paraId="6E703028" w14:textId="77777777" w:rsidR="005166B9" w:rsidRDefault="00FD469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all directors, officers, employees, agents, consultants and suppliers of a Party and/or of any Subcontractor and/or </w:t>
            </w:r>
            <w:proofErr w:type="spellStart"/>
            <w:r>
              <w:rPr>
                <w:rFonts w:ascii="Arial" w:eastAsia="Arial" w:hAnsi="Arial" w:cs="Arial"/>
                <w:color w:val="000000"/>
                <w:sz w:val="24"/>
                <w:szCs w:val="24"/>
              </w:rPr>
              <w:t>Subprocessor</w:t>
            </w:r>
            <w:proofErr w:type="spellEnd"/>
            <w:r>
              <w:rPr>
                <w:rFonts w:ascii="Arial" w:eastAsia="Arial" w:hAnsi="Arial" w:cs="Arial"/>
                <w:color w:val="000000"/>
                <w:sz w:val="24"/>
                <w:szCs w:val="24"/>
              </w:rPr>
              <w:t xml:space="preserve"> engaged in the performance of its obligations under a Contract;</w:t>
            </w:r>
          </w:p>
        </w:tc>
      </w:tr>
      <w:tr w:rsidR="005166B9" w14:paraId="2502F971" w14:textId="77777777">
        <w:tc>
          <w:tcPr>
            <w:tcW w:w="2445" w:type="dxa"/>
          </w:tcPr>
          <w:p w14:paraId="1B6B9E14" w14:textId="77777777" w:rsidR="005166B9" w:rsidRDefault="00FD469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"Prescribed Person"</w:t>
            </w:r>
          </w:p>
        </w:tc>
        <w:tc>
          <w:tcPr>
            <w:tcW w:w="7515" w:type="dxa"/>
          </w:tcPr>
          <w:p w14:paraId="0A9C30A6" w14:textId="77777777" w:rsidR="005166B9" w:rsidRDefault="00FD469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a legal adviser, an MP or an appropriate body which a whistle-blower may make a disclosure to as detailed in ‘Whistleblowing: list of prescribed people and bodies’, 24 November 2016, available online at: </w:t>
            </w:r>
            <w:hyperlink r:id="rId11">
              <w:r>
                <w:rPr>
                  <w:rFonts w:ascii="Arial" w:eastAsia="Arial" w:hAnsi="Arial" w:cs="Arial"/>
                  <w:color w:val="0000FF"/>
                  <w:sz w:val="24"/>
                  <w:szCs w:val="24"/>
                  <w:u w:val="single"/>
                </w:rPr>
                <w:t>https://www.gov.uk/government/publications/blowing-the-whistle-list-of-prescribed-people-and-bodies--2/whistleblowing-list-of-prescribed-people-and-bodies</w:t>
              </w:r>
            </w:hyperlink>
            <w:r>
              <w:rPr>
                <w:rFonts w:ascii="Arial" w:eastAsia="Arial" w:hAnsi="Arial" w:cs="Arial"/>
                <w:color w:val="000000"/>
                <w:sz w:val="24"/>
                <w:szCs w:val="24"/>
              </w:rPr>
              <w:t>;</w:t>
            </w:r>
          </w:p>
        </w:tc>
      </w:tr>
      <w:tr w:rsidR="005166B9" w14:paraId="20E5529A" w14:textId="77777777">
        <w:tc>
          <w:tcPr>
            <w:tcW w:w="2445" w:type="dxa"/>
          </w:tcPr>
          <w:p w14:paraId="7E28332C" w14:textId="77777777" w:rsidR="005166B9" w:rsidRDefault="00FD469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“Processing”</w:t>
            </w:r>
          </w:p>
        </w:tc>
        <w:tc>
          <w:tcPr>
            <w:tcW w:w="7515" w:type="dxa"/>
          </w:tcPr>
          <w:p w14:paraId="674017FE" w14:textId="77777777" w:rsidR="005166B9" w:rsidRDefault="00FD469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has the meaning given to it in the UK GDPR;</w:t>
            </w:r>
          </w:p>
        </w:tc>
      </w:tr>
      <w:tr w:rsidR="005166B9" w14:paraId="3D35A1AA" w14:textId="77777777">
        <w:tc>
          <w:tcPr>
            <w:tcW w:w="2445" w:type="dxa"/>
          </w:tcPr>
          <w:p w14:paraId="189EA3EE" w14:textId="77777777" w:rsidR="005166B9" w:rsidRDefault="00FD469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“Processor”</w:t>
            </w:r>
          </w:p>
        </w:tc>
        <w:tc>
          <w:tcPr>
            <w:tcW w:w="7515" w:type="dxa"/>
          </w:tcPr>
          <w:p w14:paraId="1903ADF7" w14:textId="77777777" w:rsidR="005166B9" w:rsidRDefault="00FD469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has the meaning given to it in the UK GDPR;</w:t>
            </w:r>
          </w:p>
        </w:tc>
      </w:tr>
      <w:tr w:rsidR="005166B9" w14:paraId="390673E1" w14:textId="77777777">
        <w:tc>
          <w:tcPr>
            <w:tcW w:w="2445" w:type="dxa"/>
          </w:tcPr>
          <w:p w14:paraId="4D87D4CB" w14:textId="77777777" w:rsidR="005166B9" w:rsidRDefault="00FD469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"Progress Meeting"</w:t>
            </w:r>
          </w:p>
        </w:tc>
        <w:tc>
          <w:tcPr>
            <w:tcW w:w="7515" w:type="dxa"/>
          </w:tcPr>
          <w:p w14:paraId="6EFB4802" w14:textId="77777777" w:rsidR="005166B9" w:rsidRDefault="00FD469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a meeting between the Buyer Authorised Representative and the Supplier Authorised Representative; </w:t>
            </w:r>
          </w:p>
        </w:tc>
      </w:tr>
      <w:tr w:rsidR="005166B9" w14:paraId="46EB7B4D" w14:textId="77777777">
        <w:tc>
          <w:tcPr>
            <w:tcW w:w="2445" w:type="dxa"/>
          </w:tcPr>
          <w:p w14:paraId="47986205" w14:textId="77777777" w:rsidR="005166B9" w:rsidRDefault="00FD469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"Progress Meeting Frequency"</w:t>
            </w:r>
          </w:p>
        </w:tc>
        <w:tc>
          <w:tcPr>
            <w:tcW w:w="7515" w:type="dxa"/>
          </w:tcPr>
          <w:p w14:paraId="3BF52725" w14:textId="77777777" w:rsidR="005166B9" w:rsidRDefault="00FD469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frequency at which the Supplier shall conduct a Progress Meeting in accordance with Clause 6.1 as specified in the Order Form;</w:t>
            </w:r>
          </w:p>
        </w:tc>
      </w:tr>
      <w:tr w:rsidR="005166B9" w14:paraId="715F943B" w14:textId="77777777">
        <w:tc>
          <w:tcPr>
            <w:tcW w:w="2445" w:type="dxa"/>
          </w:tcPr>
          <w:p w14:paraId="52E6100A" w14:textId="77777777" w:rsidR="005166B9" w:rsidRDefault="00FD469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“Progress Report”</w:t>
            </w:r>
          </w:p>
        </w:tc>
        <w:tc>
          <w:tcPr>
            <w:tcW w:w="7515" w:type="dxa"/>
          </w:tcPr>
          <w:p w14:paraId="5F022C05" w14:textId="77777777" w:rsidR="005166B9" w:rsidRDefault="00FD469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 report provided by the Supplier indicating the steps taken to achieve Milestones or delivery dates;</w:t>
            </w:r>
          </w:p>
        </w:tc>
      </w:tr>
      <w:tr w:rsidR="005166B9" w14:paraId="34C753FA" w14:textId="77777777">
        <w:tc>
          <w:tcPr>
            <w:tcW w:w="2445" w:type="dxa"/>
          </w:tcPr>
          <w:p w14:paraId="7AC68228" w14:textId="77777777" w:rsidR="005166B9" w:rsidRDefault="00FD469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“Progress Report Frequency”</w:t>
            </w:r>
          </w:p>
        </w:tc>
        <w:tc>
          <w:tcPr>
            <w:tcW w:w="7515" w:type="dxa"/>
          </w:tcPr>
          <w:p w14:paraId="2C7C39EF" w14:textId="77777777" w:rsidR="005166B9" w:rsidRDefault="00FD469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frequency at which the Supplier shall deliver Progress Reports in accordance with Clause 6.1 as specified in the Order Form;</w:t>
            </w:r>
          </w:p>
        </w:tc>
      </w:tr>
      <w:tr w:rsidR="005166B9" w14:paraId="0C4191AE" w14:textId="77777777">
        <w:tc>
          <w:tcPr>
            <w:tcW w:w="2445" w:type="dxa"/>
          </w:tcPr>
          <w:p w14:paraId="5DED629A" w14:textId="77777777" w:rsidR="005166B9" w:rsidRDefault="00FD469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“Prohibited Acts”</w:t>
            </w:r>
          </w:p>
        </w:tc>
        <w:tc>
          <w:tcPr>
            <w:tcW w:w="7515" w:type="dxa"/>
          </w:tcPr>
          <w:p w14:paraId="76ECA467" w14:textId="77777777" w:rsidR="005166B9" w:rsidRDefault="00FD4693">
            <w:pPr>
              <w:numPr>
                <w:ilvl w:val="1"/>
                <w:numId w:val="26"/>
              </w:numPr>
              <w:pBdr>
                <w:top w:val="nil"/>
                <w:left w:val="nil"/>
                <w:bottom w:val="nil"/>
                <w:right w:val="nil"/>
                <w:between w:val="nil"/>
              </w:pBdr>
              <w:tabs>
                <w:tab w:val="left" w:pos="-576"/>
                <w:tab w:val="left" w:pos="144"/>
              </w:tabs>
              <w:spacing w:after="120"/>
              <w:jc w:val="both"/>
              <w:rPr>
                <w:rFonts w:ascii="Arial" w:eastAsia="Arial" w:hAnsi="Arial" w:cs="Arial"/>
                <w:color w:val="000000"/>
                <w:sz w:val="24"/>
                <w:szCs w:val="24"/>
              </w:rPr>
            </w:pPr>
            <w:r>
              <w:rPr>
                <w:rFonts w:ascii="Arial" w:eastAsia="Arial" w:hAnsi="Arial" w:cs="Arial"/>
                <w:color w:val="000000"/>
                <w:sz w:val="24"/>
                <w:szCs w:val="24"/>
              </w:rPr>
              <w:t>to directly or indirectly offer, promise or give any person working for or engaged by a Buyer or any other public body a financial or other advantage to:</w:t>
            </w:r>
          </w:p>
          <w:p w14:paraId="6F6C0A49" w14:textId="77777777" w:rsidR="005166B9" w:rsidRDefault="00FD4693">
            <w:pPr>
              <w:numPr>
                <w:ilvl w:val="2"/>
                <w:numId w:val="26"/>
              </w:numPr>
              <w:pBdr>
                <w:top w:val="nil"/>
                <w:left w:val="nil"/>
                <w:bottom w:val="nil"/>
                <w:right w:val="nil"/>
                <w:between w:val="nil"/>
              </w:pBdr>
              <w:tabs>
                <w:tab w:val="left" w:pos="-179"/>
                <w:tab w:val="left" w:pos="-9"/>
              </w:tabs>
              <w:spacing w:after="120"/>
              <w:ind w:left="792"/>
              <w:jc w:val="both"/>
              <w:rPr>
                <w:rFonts w:ascii="Arial" w:eastAsia="Arial" w:hAnsi="Arial" w:cs="Arial"/>
                <w:color w:val="000000"/>
                <w:sz w:val="24"/>
                <w:szCs w:val="24"/>
              </w:rPr>
            </w:pPr>
            <w:r>
              <w:rPr>
                <w:rFonts w:ascii="Arial" w:eastAsia="Arial" w:hAnsi="Arial" w:cs="Arial"/>
                <w:color w:val="000000"/>
                <w:sz w:val="24"/>
                <w:szCs w:val="24"/>
              </w:rPr>
              <w:t>induce that person to perform improperly a relevant function or activity; or</w:t>
            </w:r>
          </w:p>
          <w:p w14:paraId="1ED390ED" w14:textId="77777777" w:rsidR="005166B9" w:rsidRDefault="00FD4693">
            <w:pPr>
              <w:numPr>
                <w:ilvl w:val="2"/>
                <w:numId w:val="26"/>
              </w:numPr>
              <w:pBdr>
                <w:top w:val="nil"/>
                <w:left w:val="nil"/>
                <w:bottom w:val="nil"/>
                <w:right w:val="nil"/>
                <w:between w:val="nil"/>
              </w:pBdr>
              <w:tabs>
                <w:tab w:val="left" w:pos="-179"/>
                <w:tab w:val="left" w:pos="-9"/>
              </w:tabs>
              <w:spacing w:after="120"/>
              <w:ind w:left="792"/>
              <w:jc w:val="both"/>
              <w:rPr>
                <w:rFonts w:ascii="Arial" w:eastAsia="Arial" w:hAnsi="Arial" w:cs="Arial"/>
                <w:color w:val="000000"/>
                <w:sz w:val="24"/>
                <w:szCs w:val="24"/>
              </w:rPr>
            </w:pPr>
            <w:r>
              <w:rPr>
                <w:rFonts w:ascii="Arial" w:eastAsia="Arial" w:hAnsi="Arial" w:cs="Arial"/>
                <w:color w:val="000000"/>
                <w:sz w:val="24"/>
                <w:szCs w:val="24"/>
              </w:rPr>
              <w:t xml:space="preserve">reward that person for improper performance of a relevant function or activity; </w:t>
            </w:r>
          </w:p>
          <w:p w14:paraId="356B980F" w14:textId="77777777" w:rsidR="005166B9" w:rsidRDefault="00FD4693">
            <w:pPr>
              <w:numPr>
                <w:ilvl w:val="1"/>
                <w:numId w:val="26"/>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to directly or indirectly request, agree to receive or accept any financial or other advantage as an inducement or a reward for improper performance of a relevant function or activity in connection with each Contract; or</w:t>
            </w:r>
          </w:p>
          <w:p w14:paraId="7BB5479F" w14:textId="77777777" w:rsidR="005166B9" w:rsidRDefault="00FD4693">
            <w:pPr>
              <w:numPr>
                <w:ilvl w:val="1"/>
                <w:numId w:val="26"/>
              </w:numPr>
              <w:pBdr>
                <w:top w:val="nil"/>
                <w:left w:val="nil"/>
                <w:bottom w:val="nil"/>
                <w:right w:val="nil"/>
                <w:between w:val="nil"/>
              </w:pBdr>
              <w:tabs>
                <w:tab w:val="left" w:pos="-576"/>
                <w:tab w:val="left" w:pos="144"/>
              </w:tabs>
              <w:spacing w:after="120"/>
              <w:ind w:left="576" w:hanging="432"/>
              <w:jc w:val="both"/>
              <w:rPr>
                <w:rFonts w:ascii="Arial" w:eastAsia="Arial" w:hAnsi="Arial" w:cs="Arial"/>
                <w:color w:val="000000"/>
                <w:sz w:val="24"/>
                <w:szCs w:val="24"/>
              </w:rPr>
            </w:pPr>
            <w:r>
              <w:rPr>
                <w:rFonts w:ascii="Arial" w:eastAsia="Arial" w:hAnsi="Arial" w:cs="Arial"/>
                <w:color w:val="000000"/>
                <w:sz w:val="24"/>
                <w:szCs w:val="24"/>
              </w:rPr>
              <w:t>committing any offence:</w:t>
            </w:r>
            <w:r>
              <w:rPr>
                <w:rFonts w:ascii="Arial" w:eastAsia="Arial" w:hAnsi="Arial" w:cs="Arial"/>
                <w:color w:val="000000"/>
                <w:sz w:val="24"/>
                <w:szCs w:val="24"/>
              </w:rPr>
              <w:tab/>
            </w:r>
          </w:p>
          <w:p w14:paraId="7489863C" w14:textId="77777777" w:rsidR="005166B9" w:rsidRDefault="00FD4693">
            <w:pPr>
              <w:numPr>
                <w:ilvl w:val="2"/>
                <w:numId w:val="26"/>
              </w:numPr>
              <w:pBdr>
                <w:top w:val="nil"/>
                <w:left w:val="nil"/>
                <w:bottom w:val="nil"/>
                <w:right w:val="nil"/>
                <w:between w:val="nil"/>
              </w:pBdr>
              <w:tabs>
                <w:tab w:val="left" w:pos="-179"/>
                <w:tab w:val="left" w:pos="-9"/>
              </w:tabs>
              <w:spacing w:after="120"/>
              <w:ind w:left="792"/>
              <w:jc w:val="both"/>
              <w:rPr>
                <w:rFonts w:ascii="Arial" w:eastAsia="Arial" w:hAnsi="Arial" w:cs="Arial"/>
                <w:color w:val="000000"/>
                <w:sz w:val="24"/>
                <w:szCs w:val="24"/>
              </w:rPr>
            </w:pPr>
            <w:r>
              <w:rPr>
                <w:rFonts w:ascii="Arial" w:eastAsia="Arial" w:hAnsi="Arial" w:cs="Arial"/>
                <w:color w:val="000000"/>
                <w:sz w:val="24"/>
                <w:szCs w:val="24"/>
              </w:rPr>
              <w:t>under the Bribery Act 2010 (or any legislation repealed or revoked by such Act); or</w:t>
            </w:r>
          </w:p>
          <w:p w14:paraId="5AEFA627" w14:textId="77777777" w:rsidR="005166B9" w:rsidRDefault="00FD4693">
            <w:pPr>
              <w:numPr>
                <w:ilvl w:val="2"/>
                <w:numId w:val="26"/>
              </w:numPr>
              <w:pBdr>
                <w:top w:val="nil"/>
                <w:left w:val="nil"/>
                <w:bottom w:val="nil"/>
                <w:right w:val="nil"/>
                <w:between w:val="nil"/>
              </w:pBdr>
              <w:tabs>
                <w:tab w:val="left" w:pos="-179"/>
                <w:tab w:val="left" w:pos="-9"/>
              </w:tabs>
              <w:spacing w:after="120"/>
              <w:ind w:left="792"/>
              <w:jc w:val="both"/>
              <w:rPr>
                <w:rFonts w:ascii="Arial" w:eastAsia="Arial" w:hAnsi="Arial" w:cs="Arial"/>
                <w:color w:val="000000"/>
                <w:sz w:val="24"/>
                <w:szCs w:val="24"/>
              </w:rPr>
            </w:pPr>
            <w:r>
              <w:rPr>
                <w:rFonts w:ascii="Arial" w:eastAsia="Arial" w:hAnsi="Arial" w:cs="Arial"/>
                <w:color w:val="000000"/>
                <w:sz w:val="24"/>
                <w:szCs w:val="24"/>
              </w:rPr>
              <w:t>under legislation or common law concerning fraudulent acts; or</w:t>
            </w:r>
          </w:p>
          <w:p w14:paraId="36C617D6" w14:textId="77777777" w:rsidR="005166B9" w:rsidRDefault="00FD4693">
            <w:pPr>
              <w:numPr>
                <w:ilvl w:val="2"/>
                <w:numId w:val="26"/>
              </w:numPr>
              <w:pBdr>
                <w:top w:val="nil"/>
                <w:left w:val="nil"/>
                <w:bottom w:val="nil"/>
                <w:right w:val="nil"/>
                <w:between w:val="nil"/>
              </w:pBdr>
              <w:tabs>
                <w:tab w:val="left" w:pos="-179"/>
                <w:tab w:val="left" w:pos="-9"/>
              </w:tabs>
              <w:spacing w:after="120"/>
              <w:ind w:left="792"/>
              <w:jc w:val="both"/>
              <w:rPr>
                <w:rFonts w:ascii="Arial" w:eastAsia="Arial" w:hAnsi="Arial" w:cs="Arial"/>
                <w:color w:val="000000"/>
                <w:sz w:val="24"/>
                <w:szCs w:val="24"/>
              </w:rPr>
            </w:pPr>
            <w:r>
              <w:rPr>
                <w:rFonts w:ascii="Arial" w:eastAsia="Arial" w:hAnsi="Arial" w:cs="Arial"/>
                <w:color w:val="000000"/>
                <w:sz w:val="24"/>
                <w:szCs w:val="24"/>
              </w:rPr>
              <w:t xml:space="preserve">defrauding, attempting to defraud or conspiring to defraud a Buyer or other public body; or </w:t>
            </w:r>
          </w:p>
          <w:p w14:paraId="688D3545" w14:textId="77777777" w:rsidR="005166B9" w:rsidRDefault="00FD4693">
            <w:pPr>
              <w:numPr>
                <w:ilvl w:val="1"/>
                <w:numId w:val="26"/>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any activity, practice or conduct which would constitute one of the offences listed under (c) above if such activity, practice or conduct had been carried out in the UK;</w:t>
            </w:r>
          </w:p>
        </w:tc>
      </w:tr>
      <w:tr w:rsidR="005166B9" w14:paraId="6D0E8B1A" w14:textId="77777777">
        <w:tc>
          <w:tcPr>
            <w:tcW w:w="2445" w:type="dxa"/>
          </w:tcPr>
          <w:p w14:paraId="4A7E6C1E" w14:textId="77777777" w:rsidR="005166B9" w:rsidRDefault="00FD469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“Protective Measures”</w:t>
            </w:r>
          </w:p>
        </w:tc>
        <w:tc>
          <w:tcPr>
            <w:tcW w:w="7515" w:type="dxa"/>
          </w:tcPr>
          <w:p w14:paraId="6F06A5AB" w14:textId="77777777" w:rsidR="005166B9" w:rsidRDefault="00FD469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appropriate technical and organisational measures which may include: pseudonymising and encrypting Personal Data, ensuring confidentiality, integrity, availability and resilience of systems and services, ensuring that availability of and access to Personal Data can be restored in a timely manner after an incident, and regularly assessing and evaluating the effectiveness of the such measures adopted by it including those outlined in Framework Schedule 9 (Cyber Essentials Scheme), if applicable, in the case of the Framework Contract or Call-Off Schedule 9 (Security), if applicable, in the case of a Call-Off Contract.</w:t>
            </w:r>
          </w:p>
        </w:tc>
      </w:tr>
      <w:tr w:rsidR="005166B9" w14:paraId="72ACC942" w14:textId="77777777">
        <w:tc>
          <w:tcPr>
            <w:tcW w:w="2445" w:type="dxa"/>
          </w:tcPr>
          <w:p w14:paraId="61FB598E" w14:textId="77777777" w:rsidR="005166B9" w:rsidRDefault="00FD469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“Recall”</w:t>
            </w:r>
          </w:p>
        </w:tc>
        <w:tc>
          <w:tcPr>
            <w:tcW w:w="7515" w:type="dxa"/>
          </w:tcPr>
          <w:p w14:paraId="02A79932" w14:textId="77777777" w:rsidR="005166B9" w:rsidRDefault="00FD469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a request by the Supplier to return Goods to the Supplier or the manufacturer after the discovery of safety issues or defects (including </w:t>
            </w:r>
            <w:r>
              <w:rPr>
                <w:rFonts w:ascii="Arial" w:eastAsia="Arial" w:hAnsi="Arial" w:cs="Arial"/>
                <w:color w:val="000000"/>
                <w:sz w:val="24"/>
                <w:szCs w:val="24"/>
              </w:rPr>
              <w:lastRenderedPageBreak/>
              <w:t>defects in the right IPR rights) that might endanger health or hinder performance;</w:t>
            </w:r>
          </w:p>
        </w:tc>
      </w:tr>
      <w:tr w:rsidR="005166B9" w14:paraId="6ECAAC32" w14:textId="77777777">
        <w:tc>
          <w:tcPr>
            <w:tcW w:w="2445" w:type="dxa"/>
          </w:tcPr>
          <w:p w14:paraId="69B1EEB9" w14:textId="77777777" w:rsidR="005166B9" w:rsidRDefault="00FD469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"Recipient Party"</w:t>
            </w:r>
          </w:p>
        </w:tc>
        <w:tc>
          <w:tcPr>
            <w:tcW w:w="7515" w:type="dxa"/>
          </w:tcPr>
          <w:p w14:paraId="6A2028D0" w14:textId="77777777" w:rsidR="005166B9" w:rsidRDefault="00FD469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Party which receives or obtains directly or indirectly Confidential Information;</w:t>
            </w:r>
          </w:p>
        </w:tc>
      </w:tr>
      <w:tr w:rsidR="005166B9" w14:paraId="2D859840" w14:textId="77777777">
        <w:tc>
          <w:tcPr>
            <w:tcW w:w="2445" w:type="dxa"/>
          </w:tcPr>
          <w:p w14:paraId="703CE4EF" w14:textId="77777777" w:rsidR="005166B9" w:rsidRDefault="00FD469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"Rectification Plan"</w:t>
            </w:r>
          </w:p>
        </w:tc>
        <w:tc>
          <w:tcPr>
            <w:tcW w:w="7515" w:type="dxa"/>
          </w:tcPr>
          <w:p w14:paraId="6B279EE1" w14:textId="345BEAC4" w:rsidR="005166B9" w:rsidRDefault="00FD469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Supplier’s plan (or revised plan) to rectify its breach using the template in Joint Schedule 10 (Rectification Plan) which shall include:</w:t>
            </w:r>
          </w:p>
          <w:p w14:paraId="6A0719E4" w14:textId="77777777" w:rsidR="005166B9" w:rsidRDefault="00FD4693">
            <w:pPr>
              <w:numPr>
                <w:ilvl w:val="1"/>
                <w:numId w:val="27"/>
              </w:numPr>
              <w:pBdr>
                <w:top w:val="nil"/>
                <w:left w:val="nil"/>
                <w:bottom w:val="nil"/>
                <w:right w:val="nil"/>
                <w:between w:val="nil"/>
              </w:pBdr>
              <w:tabs>
                <w:tab w:val="left" w:pos="-576"/>
                <w:tab w:val="left" w:pos="144"/>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full details of the Default that has occurred, including a root cause analysis; </w:t>
            </w:r>
          </w:p>
          <w:p w14:paraId="2D793F48" w14:textId="77777777" w:rsidR="005166B9" w:rsidRDefault="00FD4693">
            <w:pPr>
              <w:numPr>
                <w:ilvl w:val="1"/>
                <w:numId w:val="27"/>
              </w:numPr>
              <w:pBdr>
                <w:top w:val="nil"/>
                <w:left w:val="nil"/>
                <w:bottom w:val="nil"/>
                <w:right w:val="nil"/>
                <w:between w:val="nil"/>
              </w:pBdr>
              <w:tabs>
                <w:tab w:val="left" w:pos="-576"/>
                <w:tab w:val="left" w:pos="144"/>
              </w:tabs>
              <w:spacing w:after="120"/>
              <w:ind w:left="576" w:hanging="432"/>
              <w:jc w:val="both"/>
              <w:rPr>
                <w:rFonts w:ascii="Arial" w:eastAsia="Arial" w:hAnsi="Arial" w:cs="Arial"/>
                <w:color w:val="000000"/>
                <w:sz w:val="24"/>
                <w:szCs w:val="24"/>
              </w:rPr>
            </w:pPr>
            <w:r>
              <w:rPr>
                <w:rFonts w:ascii="Arial" w:eastAsia="Arial" w:hAnsi="Arial" w:cs="Arial"/>
                <w:color w:val="000000"/>
                <w:sz w:val="24"/>
                <w:szCs w:val="24"/>
              </w:rPr>
              <w:t>the actual or anticipated effect of the Default; and</w:t>
            </w:r>
          </w:p>
          <w:p w14:paraId="1F7D85E0" w14:textId="77777777" w:rsidR="005166B9" w:rsidRDefault="00FD4693">
            <w:pPr>
              <w:numPr>
                <w:ilvl w:val="1"/>
                <w:numId w:val="27"/>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the steps which the Supplier proposes to take to rectify the Default (if applicable) and to prevent such Default from recurring, including timescales for such steps and for the rectification of the Default (where applicable);</w:t>
            </w:r>
          </w:p>
        </w:tc>
      </w:tr>
      <w:tr w:rsidR="005166B9" w14:paraId="3B137F6C" w14:textId="77777777">
        <w:tc>
          <w:tcPr>
            <w:tcW w:w="2445" w:type="dxa"/>
          </w:tcPr>
          <w:p w14:paraId="792E99BA" w14:textId="77777777" w:rsidR="005166B9" w:rsidRDefault="00FD469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"Rectification Plan Process"</w:t>
            </w:r>
          </w:p>
        </w:tc>
        <w:tc>
          <w:tcPr>
            <w:tcW w:w="7515" w:type="dxa"/>
          </w:tcPr>
          <w:p w14:paraId="0BCC638B" w14:textId="77777777" w:rsidR="005166B9" w:rsidRDefault="00FD469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the process set out in Clause 10.3.1 to 10.3.4 (Rectification Plan Process); </w:t>
            </w:r>
          </w:p>
        </w:tc>
      </w:tr>
      <w:tr w:rsidR="005166B9" w14:paraId="1FC61FC2" w14:textId="77777777">
        <w:tc>
          <w:tcPr>
            <w:tcW w:w="2445" w:type="dxa"/>
          </w:tcPr>
          <w:p w14:paraId="760C275A" w14:textId="77777777" w:rsidR="005166B9" w:rsidRDefault="00FD469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"Regulations"</w:t>
            </w:r>
          </w:p>
        </w:tc>
        <w:tc>
          <w:tcPr>
            <w:tcW w:w="7515" w:type="dxa"/>
          </w:tcPr>
          <w:p w14:paraId="4B4E8EB9" w14:textId="77777777" w:rsidR="005166B9" w:rsidRDefault="00FD469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Public Contracts Regulations 2015 and/or the Public Contracts (Scotland) Regulations 2015 (as the context requires);</w:t>
            </w:r>
          </w:p>
        </w:tc>
      </w:tr>
      <w:tr w:rsidR="005166B9" w14:paraId="2E945CB7" w14:textId="77777777">
        <w:tc>
          <w:tcPr>
            <w:tcW w:w="2445" w:type="dxa"/>
          </w:tcPr>
          <w:p w14:paraId="0EBD1312" w14:textId="77777777" w:rsidR="005166B9" w:rsidRDefault="00FD469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"Reimbursable Expenses"</w:t>
            </w:r>
          </w:p>
        </w:tc>
        <w:tc>
          <w:tcPr>
            <w:tcW w:w="7515" w:type="dxa"/>
          </w:tcPr>
          <w:p w14:paraId="069158DB" w14:textId="77777777" w:rsidR="005166B9" w:rsidRDefault="00FD469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reasonable out of pocket travel and subsistence (for example, hotel and food) expenses, properly and necessarily incurred in the performance of the Services, calculated at the rates and in accordance with the Buyer's expenses policy current from time to time, but not including:</w:t>
            </w:r>
          </w:p>
          <w:p w14:paraId="110A8FB2" w14:textId="77777777" w:rsidR="005166B9" w:rsidRDefault="00FD4693">
            <w:pPr>
              <w:numPr>
                <w:ilvl w:val="1"/>
                <w:numId w:val="16"/>
              </w:numPr>
              <w:pBdr>
                <w:top w:val="nil"/>
                <w:left w:val="nil"/>
                <w:bottom w:val="nil"/>
                <w:right w:val="nil"/>
                <w:between w:val="nil"/>
              </w:pBdr>
              <w:tabs>
                <w:tab w:val="left" w:pos="-576"/>
                <w:tab w:val="left" w:pos="144"/>
              </w:tabs>
              <w:spacing w:after="120"/>
              <w:jc w:val="both"/>
              <w:rPr>
                <w:rFonts w:ascii="Arial" w:eastAsia="Arial" w:hAnsi="Arial" w:cs="Arial"/>
                <w:color w:val="000000"/>
                <w:sz w:val="24"/>
                <w:szCs w:val="24"/>
              </w:rPr>
            </w:pPr>
            <w:r>
              <w:rPr>
                <w:rFonts w:ascii="Arial" w:eastAsia="Arial" w:hAnsi="Arial" w:cs="Arial"/>
                <w:color w:val="000000"/>
                <w:sz w:val="24"/>
                <w:szCs w:val="24"/>
              </w:rPr>
              <w:t>travel expenses incurred as a result of Supplier Staff travelling to and from their usual place of work, or to and from the premises at which the Services are principally to be performed, unless the Buyer otherwise agrees in advance in writing; and</w:t>
            </w:r>
          </w:p>
          <w:p w14:paraId="5D3753BD" w14:textId="77777777" w:rsidR="005166B9" w:rsidRDefault="00FD4693">
            <w:pPr>
              <w:numPr>
                <w:ilvl w:val="1"/>
                <w:numId w:val="16"/>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subsistence expenses incurred by Supplier Staff whilst performing the Services at their usual place of work, or to and from the premises at which the Services are principally to be performed;</w:t>
            </w:r>
          </w:p>
        </w:tc>
      </w:tr>
      <w:tr w:rsidR="005166B9" w14:paraId="0879660B" w14:textId="77777777">
        <w:tc>
          <w:tcPr>
            <w:tcW w:w="2445" w:type="dxa"/>
          </w:tcPr>
          <w:p w14:paraId="0CB5B745" w14:textId="77777777" w:rsidR="005166B9" w:rsidRDefault="00FD469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"Relevant Authority"</w:t>
            </w:r>
          </w:p>
        </w:tc>
        <w:tc>
          <w:tcPr>
            <w:tcW w:w="7515" w:type="dxa"/>
          </w:tcPr>
          <w:p w14:paraId="32447CED" w14:textId="77777777" w:rsidR="005166B9" w:rsidRDefault="00FD469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the Authority which is party to the Contract to which a right or obligation is owed, as the context requires; </w:t>
            </w:r>
          </w:p>
        </w:tc>
      </w:tr>
      <w:tr w:rsidR="005166B9" w14:paraId="1BE9B10F" w14:textId="77777777">
        <w:tc>
          <w:tcPr>
            <w:tcW w:w="2445" w:type="dxa"/>
          </w:tcPr>
          <w:p w14:paraId="344C7496" w14:textId="77777777" w:rsidR="005166B9" w:rsidRDefault="00FD469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"Relevant Authority's Confidential Information"</w:t>
            </w:r>
          </w:p>
        </w:tc>
        <w:tc>
          <w:tcPr>
            <w:tcW w:w="7515" w:type="dxa"/>
          </w:tcPr>
          <w:p w14:paraId="742167FE" w14:textId="77777777" w:rsidR="005166B9" w:rsidRDefault="00FD4693">
            <w:pPr>
              <w:numPr>
                <w:ilvl w:val="1"/>
                <w:numId w:val="17"/>
              </w:numPr>
              <w:pBdr>
                <w:top w:val="nil"/>
                <w:left w:val="nil"/>
                <w:bottom w:val="nil"/>
                <w:right w:val="nil"/>
                <w:between w:val="nil"/>
              </w:pBdr>
              <w:tabs>
                <w:tab w:val="left" w:pos="-576"/>
                <w:tab w:val="left" w:pos="144"/>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all Personal Data and any information, however it is conveyed, that relates to the business, affairs, developments, property rights, trade secrets, Know-How and IPR of the Relevant Authority (including all Relevant Authority Existing IPR and New IPR); </w:t>
            </w:r>
          </w:p>
          <w:p w14:paraId="409F82BE" w14:textId="77777777" w:rsidR="005166B9" w:rsidRDefault="00FD4693">
            <w:pPr>
              <w:numPr>
                <w:ilvl w:val="1"/>
                <w:numId w:val="17"/>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 xml:space="preserve">any other information clearly designated as being confidential (whether or not it is marked "confidential") or which ought reasonably </w:t>
            </w:r>
            <w:proofErr w:type="gramStart"/>
            <w:r>
              <w:rPr>
                <w:rFonts w:ascii="Arial" w:eastAsia="Arial" w:hAnsi="Arial" w:cs="Arial"/>
                <w:color w:val="000000"/>
                <w:sz w:val="24"/>
                <w:szCs w:val="24"/>
              </w:rPr>
              <w:t>be</w:t>
            </w:r>
            <w:proofErr w:type="gramEnd"/>
            <w:r>
              <w:rPr>
                <w:rFonts w:ascii="Arial" w:eastAsia="Arial" w:hAnsi="Arial" w:cs="Arial"/>
                <w:color w:val="000000"/>
                <w:sz w:val="24"/>
                <w:szCs w:val="24"/>
              </w:rPr>
              <w:t xml:space="preserve"> considered confidential which comes (or has come) to the Relevant Authority’s attention or into the Relevant Authority’s possession in connection with a Contract; and</w:t>
            </w:r>
          </w:p>
          <w:p w14:paraId="42679C73" w14:textId="77777777" w:rsidR="005166B9" w:rsidRDefault="00FD469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information derived from any of the above;</w:t>
            </w:r>
          </w:p>
        </w:tc>
      </w:tr>
      <w:tr w:rsidR="005166B9" w14:paraId="255A36E0" w14:textId="77777777">
        <w:tc>
          <w:tcPr>
            <w:tcW w:w="2445" w:type="dxa"/>
          </w:tcPr>
          <w:p w14:paraId="6F3A58A6" w14:textId="77777777" w:rsidR="005166B9" w:rsidRDefault="00FD469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"Relevant   Requirements"</w:t>
            </w:r>
          </w:p>
        </w:tc>
        <w:tc>
          <w:tcPr>
            <w:tcW w:w="7515" w:type="dxa"/>
          </w:tcPr>
          <w:p w14:paraId="2C67CE18" w14:textId="77777777" w:rsidR="005166B9" w:rsidRDefault="00FD469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all applicable Law relating to bribery, corruption and fraud, including the Bribery Act 2010 and any guidance issued by the Secretary of State pursuant to section 9 of the Bribery Act 2010;</w:t>
            </w:r>
          </w:p>
        </w:tc>
      </w:tr>
      <w:tr w:rsidR="005166B9" w14:paraId="11236E8B" w14:textId="77777777">
        <w:tc>
          <w:tcPr>
            <w:tcW w:w="2445" w:type="dxa"/>
          </w:tcPr>
          <w:p w14:paraId="10F80625" w14:textId="77777777" w:rsidR="005166B9" w:rsidRDefault="00FD4693">
            <w:pPr>
              <w:keepNext/>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"Relevant Tax Authority"</w:t>
            </w:r>
          </w:p>
        </w:tc>
        <w:tc>
          <w:tcPr>
            <w:tcW w:w="7515" w:type="dxa"/>
          </w:tcPr>
          <w:p w14:paraId="161079F5" w14:textId="77777777" w:rsidR="005166B9" w:rsidRDefault="00FD469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HMRC, or, if applicable, the tax authority in the jurisdiction in which the Supplier is established;</w:t>
            </w:r>
          </w:p>
        </w:tc>
      </w:tr>
      <w:tr w:rsidR="005166B9" w14:paraId="5BC229C2" w14:textId="77777777">
        <w:tc>
          <w:tcPr>
            <w:tcW w:w="2445" w:type="dxa"/>
          </w:tcPr>
          <w:p w14:paraId="1754895D" w14:textId="77777777" w:rsidR="005166B9" w:rsidRDefault="00FD469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"Reminder Notice"</w:t>
            </w:r>
          </w:p>
        </w:tc>
        <w:tc>
          <w:tcPr>
            <w:tcW w:w="7515" w:type="dxa"/>
          </w:tcPr>
          <w:p w14:paraId="21267779" w14:textId="77777777" w:rsidR="005166B9" w:rsidRDefault="00FD4693">
            <w:pPr>
              <w:pBdr>
                <w:top w:val="nil"/>
                <w:left w:val="nil"/>
                <w:bottom w:val="nil"/>
                <w:right w:val="nil"/>
                <w:between w:val="nil"/>
              </w:pBdr>
              <w:tabs>
                <w:tab w:val="left" w:pos="1985"/>
                <w:tab w:val="left" w:pos="2127"/>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a notice sent in accordance with Clause 10.5 given by the Supplier to the Buyer providing notification that payment has not been received on time; </w:t>
            </w:r>
          </w:p>
        </w:tc>
      </w:tr>
      <w:tr w:rsidR="005166B9" w14:paraId="580D2A4D" w14:textId="77777777">
        <w:tc>
          <w:tcPr>
            <w:tcW w:w="2445" w:type="dxa"/>
          </w:tcPr>
          <w:p w14:paraId="42C8D849" w14:textId="77777777" w:rsidR="005166B9" w:rsidRDefault="00FD469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"Replacement Deliverables"</w:t>
            </w:r>
          </w:p>
        </w:tc>
        <w:tc>
          <w:tcPr>
            <w:tcW w:w="7515" w:type="dxa"/>
          </w:tcPr>
          <w:p w14:paraId="2E1E3612" w14:textId="77777777" w:rsidR="005166B9" w:rsidRDefault="00FD4693">
            <w:pPr>
              <w:pBdr>
                <w:top w:val="nil"/>
                <w:left w:val="nil"/>
                <w:bottom w:val="nil"/>
                <w:right w:val="nil"/>
                <w:between w:val="nil"/>
              </w:pBdr>
              <w:tabs>
                <w:tab w:val="left" w:pos="1985"/>
                <w:tab w:val="left" w:pos="2127"/>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deliverables which are substantially similar to any of the Deliverables and which the Buyer receives in substitution for any of the Deliverables following the Call-Off Expiry Date, whether those goods are provided by the Buyer internally and/or by any third party;</w:t>
            </w:r>
          </w:p>
        </w:tc>
      </w:tr>
      <w:tr w:rsidR="005166B9" w14:paraId="4E31874B" w14:textId="77777777">
        <w:tc>
          <w:tcPr>
            <w:tcW w:w="2445" w:type="dxa"/>
          </w:tcPr>
          <w:p w14:paraId="0C1CBD0B" w14:textId="77777777" w:rsidR="005166B9" w:rsidRDefault="00FD4693">
            <w:pPr>
              <w:keepNext/>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"Replacement Subcontractor"</w:t>
            </w:r>
          </w:p>
        </w:tc>
        <w:tc>
          <w:tcPr>
            <w:tcW w:w="7515" w:type="dxa"/>
          </w:tcPr>
          <w:p w14:paraId="458D0625" w14:textId="77777777" w:rsidR="005166B9" w:rsidRDefault="00FD469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a Subcontractor of the Replacement Supplier to whom Transferring Supplier Employees will transfer on a Service Transfer Date (or any Subcontractor of any such Subcontractor); </w:t>
            </w:r>
          </w:p>
        </w:tc>
      </w:tr>
      <w:tr w:rsidR="005166B9" w14:paraId="4CDB3B90" w14:textId="77777777">
        <w:tc>
          <w:tcPr>
            <w:tcW w:w="2445" w:type="dxa"/>
          </w:tcPr>
          <w:p w14:paraId="5D201785" w14:textId="77777777" w:rsidR="005166B9" w:rsidRDefault="00FD469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"Replacement Supplier"</w:t>
            </w:r>
          </w:p>
        </w:tc>
        <w:tc>
          <w:tcPr>
            <w:tcW w:w="7515" w:type="dxa"/>
          </w:tcPr>
          <w:p w14:paraId="333329E6" w14:textId="77777777" w:rsidR="005166B9" w:rsidRDefault="00FD469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any </w:t>
            </w:r>
            <w:proofErr w:type="gramStart"/>
            <w:r>
              <w:rPr>
                <w:rFonts w:ascii="Arial" w:eastAsia="Arial" w:hAnsi="Arial" w:cs="Arial"/>
                <w:color w:val="000000"/>
                <w:sz w:val="24"/>
                <w:szCs w:val="24"/>
              </w:rPr>
              <w:t>third party</w:t>
            </w:r>
            <w:proofErr w:type="gramEnd"/>
            <w:r>
              <w:rPr>
                <w:rFonts w:ascii="Arial" w:eastAsia="Arial" w:hAnsi="Arial" w:cs="Arial"/>
                <w:color w:val="000000"/>
                <w:sz w:val="24"/>
                <w:szCs w:val="24"/>
              </w:rPr>
              <w:t xml:space="preserve"> provider of Replacement Deliverables appointed by or at the direction of the Buyer from time to time or where the Buyer is providing Replacement Deliverables for its own account, shall also include the Buyer;</w:t>
            </w:r>
          </w:p>
        </w:tc>
      </w:tr>
      <w:tr w:rsidR="005166B9" w14:paraId="0DC4D191" w14:textId="77777777">
        <w:tc>
          <w:tcPr>
            <w:tcW w:w="2445" w:type="dxa"/>
          </w:tcPr>
          <w:p w14:paraId="1188E971" w14:textId="77777777" w:rsidR="005166B9" w:rsidRDefault="00FD469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"Request For Information"</w:t>
            </w:r>
          </w:p>
        </w:tc>
        <w:tc>
          <w:tcPr>
            <w:tcW w:w="7515" w:type="dxa"/>
          </w:tcPr>
          <w:p w14:paraId="4C705DA1" w14:textId="77777777" w:rsidR="005166B9" w:rsidRDefault="00FD469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 request for information or an apparent request relating to a Contract for the provision of the Deliverables or an apparent request for such information under the FOIA or the EIRs;</w:t>
            </w:r>
          </w:p>
        </w:tc>
      </w:tr>
      <w:tr w:rsidR="005166B9" w14:paraId="347E32C4" w14:textId="77777777">
        <w:tc>
          <w:tcPr>
            <w:tcW w:w="2445" w:type="dxa"/>
          </w:tcPr>
          <w:p w14:paraId="52A8669D" w14:textId="77777777" w:rsidR="005166B9" w:rsidRDefault="00FD469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"Required Insurances"</w:t>
            </w:r>
          </w:p>
        </w:tc>
        <w:tc>
          <w:tcPr>
            <w:tcW w:w="7515" w:type="dxa"/>
          </w:tcPr>
          <w:p w14:paraId="2175850E" w14:textId="77777777" w:rsidR="005166B9" w:rsidRDefault="00FD469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the insurances required by Joint Schedule 3 (Insurance Requirements) or any additional insurances specified in the Order Form; </w:t>
            </w:r>
          </w:p>
        </w:tc>
      </w:tr>
      <w:tr w:rsidR="005166B9" w14:paraId="26C8F8CC" w14:textId="77777777">
        <w:tc>
          <w:tcPr>
            <w:tcW w:w="2445" w:type="dxa"/>
          </w:tcPr>
          <w:p w14:paraId="686E6A62" w14:textId="77777777" w:rsidR="005166B9" w:rsidRDefault="00FD469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"Satisfaction Certificate"</w:t>
            </w:r>
          </w:p>
        </w:tc>
        <w:tc>
          <w:tcPr>
            <w:tcW w:w="7515" w:type="dxa"/>
          </w:tcPr>
          <w:p w14:paraId="6EF421FE" w14:textId="77777777" w:rsidR="005166B9" w:rsidRDefault="00FD469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certificate (materially in the form of the document contained in of Part B of Call-Off Schedule 13 (Implementation Plan and Testing) or as agreed by the Parties where Call-Off Schedule 13 is not used in this Contract) granted by the Buyer when the Supplier has met all of the requirements of an Order, Achieved a Milestone or a Test;</w:t>
            </w:r>
          </w:p>
        </w:tc>
      </w:tr>
      <w:tr w:rsidR="005166B9" w14:paraId="5E2FC0E9" w14:textId="77777777">
        <w:tc>
          <w:tcPr>
            <w:tcW w:w="2445" w:type="dxa"/>
          </w:tcPr>
          <w:p w14:paraId="06FD76C4" w14:textId="77777777" w:rsidR="005166B9" w:rsidRDefault="00FD469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"Security Management Plan"</w:t>
            </w:r>
          </w:p>
        </w:tc>
        <w:tc>
          <w:tcPr>
            <w:tcW w:w="7515" w:type="dxa"/>
          </w:tcPr>
          <w:p w14:paraId="44C1E9B6" w14:textId="77777777" w:rsidR="005166B9" w:rsidRDefault="00FD469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the Supplier's security management plan prepared pursuant to Call-Off Schedule 9 (Security) (if applicable); </w:t>
            </w:r>
          </w:p>
        </w:tc>
      </w:tr>
      <w:tr w:rsidR="005166B9" w14:paraId="1ED19170" w14:textId="77777777">
        <w:tc>
          <w:tcPr>
            <w:tcW w:w="2445" w:type="dxa"/>
          </w:tcPr>
          <w:p w14:paraId="690883A8" w14:textId="77777777" w:rsidR="005166B9" w:rsidRDefault="00FD469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"Security Policy"</w:t>
            </w:r>
          </w:p>
        </w:tc>
        <w:tc>
          <w:tcPr>
            <w:tcW w:w="7515" w:type="dxa"/>
          </w:tcPr>
          <w:p w14:paraId="06AFBC25" w14:textId="77777777" w:rsidR="005166B9" w:rsidRDefault="00FD469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Buyer's security policy, referred to in the Order Form, in force as at the Call-Off Start Date (a copy of which has been supplied to the Supplier), as updated from time to time and notified to the Supplier;</w:t>
            </w:r>
          </w:p>
        </w:tc>
      </w:tr>
      <w:tr w:rsidR="005166B9" w14:paraId="476CCBD5" w14:textId="77777777">
        <w:tc>
          <w:tcPr>
            <w:tcW w:w="2445" w:type="dxa"/>
          </w:tcPr>
          <w:p w14:paraId="68C53FCA" w14:textId="77777777" w:rsidR="005166B9" w:rsidRDefault="00FD469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w:t>
            </w:r>
            <w:proofErr w:type="spellStart"/>
            <w:r>
              <w:rPr>
                <w:rFonts w:ascii="Arial" w:eastAsia="Arial" w:hAnsi="Arial" w:cs="Arial"/>
                <w:b/>
                <w:color w:val="000000"/>
                <w:sz w:val="24"/>
                <w:szCs w:val="24"/>
              </w:rPr>
              <w:t>Self Audit</w:t>
            </w:r>
            <w:proofErr w:type="spellEnd"/>
            <w:r>
              <w:rPr>
                <w:rFonts w:ascii="Arial" w:eastAsia="Arial" w:hAnsi="Arial" w:cs="Arial"/>
                <w:b/>
                <w:color w:val="000000"/>
                <w:sz w:val="24"/>
                <w:szCs w:val="24"/>
              </w:rPr>
              <w:t xml:space="preserve"> Certificate"</w:t>
            </w:r>
          </w:p>
        </w:tc>
        <w:tc>
          <w:tcPr>
            <w:tcW w:w="7515" w:type="dxa"/>
          </w:tcPr>
          <w:p w14:paraId="722D1ADF" w14:textId="77777777" w:rsidR="005166B9" w:rsidRDefault="00FD469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means the certificate in the form as set out in Framework Schedule 8 (Self Audit Certificate);</w:t>
            </w:r>
          </w:p>
        </w:tc>
      </w:tr>
      <w:tr w:rsidR="005166B9" w14:paraId="21934087" w14:textId="77777777">
        <w:tc>
          <w:tcPr>
            <w:tcW w:w="2445" w:type="dxa"/>
          </w:tcPr>
          <w:p w14:paraId="33D476BB" w14:textId="77777777" w:rsidR="005166B9" w:rsidRDefault="00FD469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"Serious Fraud Office"</w:t>
            </w:r>
          </w:p>
        </w:tc>
        <w:tc>
          <w:tcPr>
            <w:tcW w:w="7515" w:type="dxa"/>
          </w:tcPr>
          <w:p w14:paraId="78DBC14B" w14:textId="77777777" w:rsidR="005166B9" w:rsidRDefault="00FD469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UK Government body named as such as may be renamed or replaced by an equivalent body from time to time;</w:t>
            </w:r>
          </w:p>
        </w:tc>
      </w:tr>
      <w:tr w:rsidR="005166B9" w14:paraId="06A2DB95" w14:textId="77777777">
        <w:tc>
          <w:tcPr>
            <w:tcW w:w="2445" w:type="dxa"/>
          </w:tcPr>
          <w:p w14:paraId="291F2C46" w14:textId="77777777" w:rsidR="005166B9" w:rsidRDefault="00FD469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“Service Levels”</w:t>
            </w:r>
          </w:p>
        </w:tc>
        <w:tc>
          <w:tcPr>
            <w:tcW w:w="7515" w:type="dxa"/>
          </w:tcPr>
          <w:p w14:paraId="2BF239DF" w14:textId="78A6311B" w:rsidR="005166B9" w:rsidRDefault="00FD469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service levels applicable to the provision of the Deliverables under the Call-Off Contract (which, where Call-Off Schedule 14 (Service Levels) is used in this Contract, are specified in the Annex to Part A of such Schedule);</w:t>
            </w:r>
          </w:p>
        </w:tc>
      </w:tr>
      <w:tr w:rsidR="005166B9" w14:paraId="3CCDDAF1" w14:textId="77777777">
        <w:tc>
          <w:tcPr>
            <w:tcW w:w="2445" w:type="dxa"/>
          </w:tcPr>
          <w:p w14:paraId="30CEA61E" w14:textId="77777777" w:rsidR="005166B9" w:rsidRDefault="00FD469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"Service Period"</w:t>
            </w:r>
          </w:p>
        </w:tc>
        <w:tc>
          <w:tcPr>
            <w:tcW w:w="7515" w:type="dxa"/>
          </w:tcPr>
          <w:p w14:paraId="02C78F37" w14:textId="77777777" w:rsidR="005166B9" w:rsidRDefault="00FD469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has the meaning given to it in the Order Form;</w:t>
            </w:r>
          </w:p>
        </w:tc>
      </w:tr>
      <w:tr w:rsidR="005166B9" w14:paraId="09B3C86F" w14:textId="77777777">
        <w:tc>
          <w:tcPr>
            <w:tcW w:w="2445" w:type="dxa"/>
          </w:tcPr>
          <w:p w14:paraId="40551E9A" w14:textId="77777777" w:rsidR="005166B9" w:rsidRDefault="00FD4693">
            <w:pPr>
              <w:keepNext/>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"Services"</w:t>
            </w:r>
          </w:p>
        </w:tc>
        <w:tc>
          <w:tcPr>
            <w:tcW w:w="7515" w:type="dxa"/>
          </w:tcPr>
          <w:p w14:paraId="1C83DCA1" w14:textId="77777777" w:rsidR="005166B9" w:rsidRDefault="00FD469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services made available by the Supplier as specified in Framework Schedule 1 (Specification) and in relation to a Call-Off Contract as specified in the Order Form;</w:t>
            </w:r>
          </w:p>
        </w:tc>
      </w:tr>
      <w:tr w:rsidR="005166B9" w14:paraId="35ED5A57" w14:textId="77777777">
        <w:tc>
          <w:tcPr>
            <w:tcW w:w="2445" w:type="dxa"/>
          </w:tcPr>
          <w:p w14:paraId="511D09CA" w14:textId="77777777" w:rsidR="005166B9" w:rsidRDefault="00FD4693">
            <w:pPr>
              <w:keepNext/>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"Service Transfer"</w:t>
            </w:r>
          </w:p>
        </w:tc>
        <w:tc>
          <w:tcPr>
            <w:tcW w:w="7515" w:type="dxa"/>
          </w:tcPr>
          <w:p w14:paraId="620D5E73" w14:textId="77777777" w:rsidR="005166B9" w:rsidRDefault="00FD469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transfer of the Deliverables (or any part of the Deliverables), for whatever reason, from the Supplier or any Subcontractor to a Replacement Supplier or a Replacement Subcontractor;</w:t>
            </w:r>
          </w:p>
        </w:tc>
      </w:tr>
      <w:tr w:rsidR="005166B9" w14:paraId="0DD548E6" w14:textId="77777777">
        <w:tc>
          <w:tcPr>
            <w:tcW w:w="2445" w:type="dxa"/>
          </w:tcPr>
          <w:p w14:paraId="6DAF790B" w14:textId="77777777" w:rsidR="005166B9" w:rsidRDefault="00FD4693">
            <w:pPr>
              <w:pBdr>
                <w:top w:val="nil"/>
                <w:left w:val="nil"/>
                <w:bottom w:val="nil"/>
                <w:right w:val="nil"/>
                <w:between w:val="nil"/>
              </w:pBdr>
              <w:spacing w:after="120"/>
              <w:ind w:left="-108"/>
              <w:rPr>
                <w:rFonts w:ascii="Arial" w:eastAsia="Arial" w:hAnsi="Arial" w:cs="Arial"/>
                <w:b/>
                <w:color w:val="000000"/>
                <w:sz w:val="24"/>
                <w:szCs w:val="24"/>
                <w:highlight w:val="green"/>
              </w:rPr>
            </w:pPr>
            <w:r>
              <w:rPr>
                <w:rFonts w:ascii="Arial" w:eastAsia="Arial" w:hAnsi="Arial" w:cs="Arial"/>
                <w:b/>
                <w:color w:val="000000"/>
                <w:sz w:val="24"/>
                <w:szCs w:val="24"/>
              </w:rPr>
              <w:t>"Service Transfer Date"</w:t>
            </w:r>
          </w:p>
        </w:tc>
        <w:tc>
          <w:tcPr>
            <w:tcW w:w="7515" w:type="dxa"/>
          </w:tcPr>
          <w:p w14:paraId="7FC39919" w14:textId="77777777" w:rsidR="005166B9" w:rsidRDefault="00FD469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date of a Service Transfer;</w:t>
            </w:r>
          </w:p>
        </w:tc>
      </w:tr>
      <w:tr w:rsidR="005166B9" w14:paraId="3247B62E" w14:textId="77777777">
        <w:tc>
          <w:tcPr>
            <w:tcW w:w="2445" w:type="dxa"/>
          </w:tcPr>
          <w:p w14:paraId="4A5A59EC" w14:textId="77777777" w:rsidR="005166B9" w:rsidRDefault="00FD469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"Sites"</w:t>
            </w:r>
          </w:p>
        </w:tc>
        <w:tc>
          <w:tcPr>
            <w:tcW w:w="7515" w:type="dxa"/>
          </w:tcPr>
          <w:p w14:paraId="07389FAF" w14:textId="77777777" w:rsidR="005166B9" w:rsidRDefault="00FD469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any premises (including the Buyer Premises, the Supplier’s premises or </w:t>
            </w:r>
            <w:proofErr w:type="gramStart"/>
            <w:r>
              <w:rPr>
                <w:rFonts w:ascii="Arial" w:eastAsia="Arial" w:hAnsi="Arial" w:cs="Arial"/>
                <w:color w:val="000000"/>
                <w:sz w:val="24"/>
                <w:szCs w:val="24"/>
              </w:rPr>
              <w:t>third party</w:t>
            </w:r>
            <w:proofErr w:type="gramEnd"/>
            <w:r>
              <w:rPr>
                <w:rFonts w:ascii="Arial" w:eastAsia="Arial" w:hAnsi="Arial" w:cs="Arial"/>
                <w:color w:val="000000"/>
                <w:sz w:val="24"/>
                <w:szCs w:val="24"/>
              </w:rPr>
              <w:t xml:space="preserve"> premises) from, to or at which:</w:t>
            </w:r>
          </w:p>
          <w:p w14:paraId="2252B419" w14:textId="77777777" w:rsidR="005166B9" w:rsidRDefault="00FD4693">
            <w:pPr>
              <w:numPr>
                <w:ilvl w:val="1"/>
                <w:numId w:val="19"/>
              </w:numPr>
              <w:pBdr>
                <w:top w:val="nil"/>
                <w:left w:val="nil"/>
                <w:bottom w:val="nil"/>
                <w:right w:val="nil"/>
                <w:between w:val="nil"/>
              </w:pBdr>
              <w:tabs>
                <w:tab w:val="left" w:pos="-576"/>
                <w:tab w:val="left" w:pos="144"/>
              </w:tabs>
              <w:spacing w:after="120"/>
              <w:jc w:val="both"/>
              <w:rPr>
                <w:rFonts w:ascii="Arial" w:eastAsia="Arial" w:hAnsi="Arial" w:cs="Arial"/>
                <w:color w:val="000000"/>
                <w:sz w:val="24"/>
                <w:szCs w:val="24"/>
              </w:rPr>
            </w:pPr>
            <w:r>
              <w:rPr>
                <w:rFonts w:ascii="Arial" w:eastAsia="Arial" w:hAnsi="Arial" w:cs="Arial"/>
                <w:color w:val="000000"/>
                <w:sz w:val="24"/>
                <w:szCs w:val="24"/>
              </w:rPr>
              <w:t>the Deliverables are (or are to be) provided; or</w:t>
            </w:r>
          </w:p>
          <w:p w14:paraId="59D3ED69" w14:textId="77777777" w:rsidR="005166B9" w:rsidRDefault="00FD4693">
            <w:pPr>
              <w:numPr>
                <w:ilvl w:val="1"/>
                <w:numId w:val="19"/>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the Supplier manages, organises or otherwise directs the provision or the use of the Deliverables;</w:t>
            </w:r>
          </w:p>
        </w:tc>
      </w:tr>
      <w:tr w:rsidR="005166B9" w14:paraId="189A99FE" w14:textId="77777777">
        <w:trPr>
          <w:trHeight w:val="945"/>
        </w:trPr>
        <w:tc>
          <w:tcPr>
            <w:tcW w:w="2445" w:type="dxa"/>
          </w:tcPr>
          <w:p w14:paraId="0424BECF" w14:textId="77777777" w:rsidR="005166B9" w:rsidRDefault="00FD469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"SME"</w:t>
            </w:r>
          </w:p>
        </w:tc>
        <w:tc>
          <w:tcPr>
            <w:tcW w:w="7515" w:type="dxa"/>
          </w:tcPr>
          <w:p w14:paraId="10B8B23D" w14:textId="77777777" w:rsidR="005166B9" w:rsidRDefault="00FD469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 enterprise falling within the category of micro, small and medium sized enterprises defined by the Commission Recommendation of 6 May 2003 concerning the definition of micro, small and medium enterprises;</w:t>
            </w:r>
          </w:p>
        </w:tc>
      </w:tr>
      <w:tr w:rsidR="00DD06B0" w14:paraId="5059427D" w14:textId="77777777">
        <w:trPr>
          <w:trHeight w:val="945"/>
        </w:trPr>
        <w:tc>
          <w:tcPr>
            <w:tcW w:w="2445" w:type="dxa"/>
          </w:tcPr>
          <w:p w14:paraId="79192720" w14:textId="779ECC9C" w:rsidR="00DD06B0" w:rsidRDefault="00DD06B0" w:rsidP="00DD06B0">
            <w:pPr>
              <w:pBdr>
                <w:top w:val="nil"/>
                <w:left w:val="nil"/>
                <w:bottom w:val="nil"/>
                <w:right w:val="nil"/>
                <w:between w:val="nil"/>
              </w:pBdr>
              <w:spacing w:after="120"/>
              <w:ind w:left="-108"/>
              <w:rPr>
                <w:rFonts w:ascii="Arial" w:eastAsia="Arial" w:hAnsi="Arial" w:cs="Arial"/>
                <w:b/>
                <w:color w:val="000000"/>
                <w:sz w:val="24"/>
                <w:szCs w:val="24"/>
              </w:rPr>
            </w:pPr>
            <w:r w:rsidRPr="00386A55">
              <w:rPr>
                <w:rFonts w:ascii="Arial" w:eastAsia="Arial" w:hAnsi="Arial" w:cs="Arial"/>
                <w:b/>
                <w:color w:val="000000"/>
                <w:sz w:val="24"/>
                <w:szCs w:val="24"/>
              </w:rPr>
              <w:t>"Software"</w:t>
            </w:r>
          </w:p>
        </w:tc>
        <w:tc>
          <w:tcPr>
            <w:tcW w:w="7515" w:type="dxa"/>
          </w:tcPr>
          <w:p w14:paraId="54FEDC60" w14:textId="221C662D" w:rsidR="00DD06B0" w:rsidRDefault="00DD06B0" w:rsidP="00DD06B0">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sidRPr="00386A55">
              <w:rPr>
                <w:rFonts w:ascii="Arial" w:eastAsia="Arial" w:hAnsi="Arial" w:cs="Arial"/>
                <w:color w:val="000000"/>
                <w:sz w:val="24"/>
                <w:szCs w:val="24"/>
              </w:rPr>
              <w:t>any software including Specially Written Software, COTS Software and software that is not COTS Software;</w:t>
            </w:r>
          </w:p>
        </w:tc>
      </w:tr>
      <w:tr w:rsidR="00DD06B0" w14:paraId="7419CBCA" w14:textId="77777777">
        <w:trPr>
          <w:trHeight w:val="945"/>
        </w:trPr>
        <w:tc>
          <w:tcPr>
            <w:tcW w:w="2445" w:type="dxa"/>
          </w:tcPr>
          <w:p w14:paraId="18FC3C9D" w14:textId="518F3E42" w:rsidR="00DD06B0" w:rsidRDefault="00DD06B0" w:rsidP="00DD06B0">
            <w:pPr>
              <w:pBdr>
                <w:top w:val="nil"/>
                <w:left w:val="nil"/>
                <w:bottom w:val="nil"/>
                <w:right w:val="nil"/>
                <w:between w:val="nil"/>
              </w:pBdr>
              <w:spacing w:after="120"/>
              <w:ind w:left="-108"/>
              <w:rPr>
                <w:rFonts w:ascii="Arial" w:eastAsia="Arial" w:hAnsi="Arial" w:cs="Arial"/>
                <w:b/>
                <w:color w:val="000000"/>
                <w:sz w:val="24"/>
                <w:szCs w:val="24"/>
              </w:rPr>
            </w:pPr>
            <w:r w:rsidRPr="00386A55">
              <w:rPr>
                <w:rFonts w:ascii="Arial" w:eastAsia="Arial" w:hAnsi="Arial" w:cs="Arial"/>
                <w:b/>
                <w:color w:val="000000"/>
                <w:sz w:val="24"/>
                <w:szCs w:val="24"/>
              </w:rPr>
              <w:t>"Software Supporting Materials"</w:t>
            </w:r>
          </w:p>
        </w:tc>
        <w:tc>
          <w:tcPr>
            <w:tcW w:w="7515" w:type="dxa"/>
          </w:tcPr>
          <w:p w14:paraId="1FAE12F4" w14:textId="1BDF6D27" w:rsidR="00DD06B0" w:rsidRDefault="00DD06B0" w:rsidP="00DD06B0">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sidRPr="00386A55">
              <w:rPr>
                <w:rFonts w:ascii="Arial" w:eastAsia="Arial" w:hAnsi="Arial" w:cs="Arial"/>
                <w:color w:val="000000"/>
                <w:sz w:val="24"/>
                <w:szCs w:val="24"/>
              </w:rPr>
              <w:t xml:space="preserve">has the meaning given to it in </w:t>
            </w:r>
            <w:r w:rsidR="00F35DE1">
              <w:rPr>
                <w:rFonts w:ascii="Arial" w:eastAsia="Arial" w:hAnsi="Arial" w:cs="Arial"/>
                <w:color w:val="000000"/>
                <w:sz w:val="24"/>
                <w:szCs w:val="24"/>
              </w:rPr>
              <w:t xml:space="preserve">Call-Off </w:t>
            </w:r>
            <w:r w:rsidRPr="00386A55">
              <w:rPr>
                <w:rFonts w:ascii="Arial" w:eastAsia="Arial" w:hAnsi="Arial" w:cs="Arial"/>
                <w:color w:val="000000"/>
                <w:sz w:val="24"/>
                <w:szCs w:val="24"/>
              </w:rPr>
              <w:t xml:space="preserve">Schedule </w:t>
            </w:r>
            <w:r w:rsidR="00F35DE1">
              <w:rPr>
                <w:rFonts w:ascii="Arial" w:eastAsia="Arial" w:hAnsi="Arial" w:cs="Arial"/>
                <w:color w:val="000000"/>
                <w:sz w:val="24"/>
                <w:szCs w:val="24"/>
              </w:rPr>
              <w:t>26</w:t>
            </w:r>
            <w:r w:rsidRPr="00386A55">
              <w:rPr>
                <w:rFonts w:ascii="Arial" w:eastAsia="Arial" w:hAnsi="Arial" w:cs="Arial"/>
                <w:color w:val="000000"/>
                <w:sz w:val="24"/>
                <w:szCs w:val="24"/>
              </w:rPr>
              <w:t xml:space="preserve"> (Intellectual Property Rights)</w:t>
            </w:r>
            <w:r>
              <w:rPr>
                <w:rFonts w:ascii="Arial" w:eastAsia="Arial" w:hAnsi="Arial" w:cs="Arial"/>
                <w:color w:val="000000"/>
                <w:sz w:val="24"/>
                <w:szCs w:val="24"/>
              </w:rPr>
              <w:t>;</w:t>
            </w:r>
          </w:p>
        </w:tc>
      </w:tr>
      <w:tr w:rsidR="00F35DE1" w14:paraId="5BEB1175" w14:textId="77777777">
        <w:trPr>
          <w:trHeight w:val="945"/>
        </w:trPr>
        <w:tc>
          <w:tcPr>
            <w:tcW w:w="2445" w:type="dxa"/>
          </w:tcPr>
          <w:p w14:paraId="58F02F23" w14:textId="7217401C" w:rsidR="00F35DE1" w:rsidRDefault="00F35DE1" w:rsidP="00F35DE1">
            <w:pPr>
              <w:pBdr>
                <w:top w:val="nil"/>
                <w:left w:val="nil"/>
                <w:bottom w:val="nil"/>
                <w:right w:val="nil"/>
                <w:between w:val="nil"/>
              </w:pBdr>
              <w:spacing w:after="120"/>
              <w:ind w:left="-108"/>
              <w:rPr>
                <w:rFonts w:ascii="Arial" w:eastAsia="Arial" w:hAnsi="Arial" w:cs="Arial"/>
                <w:b/>
                <w:color w:val="000000"/>
                <w:sz w:val="24"/>
                <w:szCs w:val="24"/>
              </w:rPr>
            </w:pPr>
            <w:r w:rsidRPr="00386A55">
              <w:rPr>
                <w:rFonts w:ascii="Arial" w:eastAsia="Arial" w:hAnsi="Arial" w:cs="Arial"/>
                <w:b/>
                <w:color w:val="000000"/>
                <w:sz w:val="24"/>
                <w:szCs w:val="24"/>
              </w:rPr>
              <w:t>"Source Code"</w:t>
            </w:r>
          </w:p>
        </w:tc>
        <w:tc>
          <w:tcPr>
            <w:tcW w:w="7515" w:type="dxa"/>
          </w:tcPr>
          <w:p w14:paraId="114D4209" w14:textId="01036198" w:rsidR="00F35DE1" w:rsidRDefault="00F35DE1" w:rsidP="00F35DE1">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sidRPr="00386A55">
              <w:rPr>
                <w:rFonts w:ascii="Arial" w:eastAsia="Arial" w:hAnsi="Arial" w:cs="Arial"/>
                <w:color w:val="000000"/>
                <w:sz w:val="24"/>
                <w:szCs w:val="24"/>
              </w:rPr>
              <w:t>computer programs and/or data in eye-readable form and in such form that it can be compiled or interpreted into equivalent binary code together with all related design comments, flow charts, technical information and documentation necessary for the use, reproduction, maintenance, modification and enhancement of such software;</w:t>
            </w:r>
          </w:p>
        </w:tc>
      </w:tr>
      <w:tr w:rsidR="005166B9" w14:paraId="33B3EDD5" w14:textId="77777777">
        <w:trPr>
          <w:trHeight w:val="945"/>
        </w:trPr>
        <w:tc>
          <w:tcPr>
            <w:tcW w:w="2445" w:type="dxa"/>
          </w:tcPr>
          <w:p w14:paraId="7E1251DA" w14:textId="77777777" w:rsidR="005166B9" w:rsidRDefault="00FD469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"Special Terms"</w:t>
            </w:r>
          </w:p>
        </w:tc>
        <w:tc>
          <w:tcPr>
            <w:tcW w:w="7515" w:type="dxa"/>
          </w:tcPr>
          <w:p w14:paraId="1FDB1B52" w14:textId="77777777" w:rsidR="005166B9" w:rsidRDefault="00FD469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additional Clauses set out in the Framework Award Form or Order Form which shall form part of the respective Contract;</w:t>
            </w:r>
          </w:p>
        </w:tc>
      </w:tr>
      <w:tr w:rsidR="00DD06B0" w14:paraId="0D6FF73D" w14:textId="77777777">
        <w:trPr>
          <w:trHeight w:val="945"/>
        </w:trPr>
        <w:tc>
          <w:tcPr>
            <w:tcW w:w="2445" w:type="dxa"/>
          </w:tcPr>
          <w:p w14:paraId="4A203335" w14:textId="7341A97E" w:rsidR="00DD06B0" w:rsidRDefault="00DD06B0" w:rsidP="00DD06B0">
            <w:pPr>
              <w:pBdr>
                <w:top w:val="nil"/>
                <w:left w:val="nil"/>
                <w:bottom w:val="nil"/>
                <w:right w:val="nil"/>
                <w:between w:val="nil"/>
              </w:pBdr>
              <w:spacing w:after="120"/>
              <w:ind w:left="-108"/>
              <w:rPr>
                <w:rFonts w:ascii="Arial" w:eastAsia="Arial" w:hAnsi="Arial" w:cs="Arial"/>
                <w:b/>
                <w:color w:val="000000"/>
                <w:sz w:val="24"/>
                <w:szCs w:val="24"/>
              </w:rPr>
            </w:pPr>
            <w:r w:rsidRPr="00386A55">
              <w:rPr>
                <w:rFonts w:ascii="Arial" w:eastAsia="Arial" w:hAnsi="Arial" w:cs="Arial"/>
                <w:b/>
                <w:color w:val="000000"/>
                <w:sz w:val="24"/>
                <w:szCs w:val="24"/>
              </w:rPr>
              <w:t>"Specially Written Software"</w:t>
            </w:r>
          </w:p>
        </w:tc>
        <w:tc>
          <w:tcPr>
            <w:tcW w:w="7515" w:type="dxa"/>
          </w:tcPr>
          <w:p w14:paraId="50595072" w14:textId="39102A6E" w:rsidR="00DD06B0" w:rsidRDefault="00DD06B0" w:rsidP="00DD06B0">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sidRPr="00386A55">
              <w:rPr>
                <w:rFonts w:ascii="Arial" w:eastAsia="Arial" w:hAnsi="Arial" w:cs="Arial"/>
                <w:color w:val="000000"/>
                <w:sz w:val="24"/>
                <w:szCs w:val="24"/>
              </w:rPr>
              <w:t>any software (including database software, linking instructions, test scripts, compilation instructions and test instructions) created by the Supplier (or by a Sub</w:t>
            </w:r>
            <w:r>
              <w:rPr>
                <w:rFonts w:ascii="Arial" w:eastAsia="Arial" w:hAnsi="Arial" w:cs="Arial"/>
                <w:color w:val="000000"/>
                <w:sz w:val="24"/>
                <w:szCs w:val="24"/>
              </w:rPr>
              <w:t>c</w:t>
            </w:r>
            <w:r w:rsidRPr="00386A55">
              <w:rPr>
                <w:rFonts w:ascii="Arial" w:eastAsia="Arial" w:hAnsi="Arial" w:cs="Arial"/>
                <w:color w:val="000000"/>
                <w:sz w:val="24"/>
                <w:szCs w:val="24"/>
              </w:rPr>
              <w:t>ontractor or other third party on behalf of the Supplier) specifically for the purposes of this Contract, including any modifications or enhancements to COTS Software. For the avoidance of doubt Specially Written Software does not constitute New IPR;</w:t>
            </w:r>
          </w:p>
        </w:tc>
      </w:tr>
      <w:tr w:rsidR="005166B9" w14:paraId="21DDB3C5" w14:textId="77777777">
        <w:trPr>
          <w:trHeight w:val="945"/>
        </w:trPr>
        <w:tc>
          <w:tcPr>
            <w:tcW w:w="2445" w:type="dxa"/>
          </w:tcPr>
          <w:p w14:paraId="18B7E471" w14:textId="77777777" w:rsidR="005166B9" w:rsidRDefault="00FD469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"Specific Change in Law"</w:t>
            </w:r>
          </w:p>
        </w:tc>
        <w:tc>
          <w:tcPr>
            <w:tcW w:w="7515" w:type="dxa"/>
          </w:tcPr>
          <w:p w14:paraId="61C37148" w14:textId="77777777" w:rsidR="005166B9" w:rsidRDefault="00FD469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 Change in Law that relates specifically to the business of the Buyer and which would not affect a Comparable Supply where the effect of that Specific Change in Law on the Deliverables is not reasonably foreseeable at the Start Date;</w:t>
            </w:r>
          </w:p>
        </w:tc>
      </w:tr>
      <w:tr w:rsidR="005166B9" w14:paraId="01FD8016" w14:textId="77777777">
        <w:trPr>
          <w:trHeight w:val="945"/>
        </w:trPr>
        <w:tc>
          <w:tcPr>
            <w:tcW w:w="2445" w:type="dxa"/>
          </w:tcPr>
          <w:p w14:paraId="51465386" w14:textId="77777777" w:rsidR="005166B9" w:rsidRDefault="00FD469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"Specification"</w:t>
            </w:r>
          </w:p>
        </w:tc>
        <w:tc>
          <w:tcPr>
            <w:tcW w:w="7515" w:type="dxa"/>
          </w:tcPr>
          <w:p w14:paraId="11FF160C" w14:textId="77777777" w:rsidR="005166B9" w:rsidRDefault="00FD469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specification set out in Framework Schedule 1 (Specification), as may, in relation to a Call-Off Contract, be supplemented by the Order Form;</w:t>
            </w:r>
          </w:p>
        </w:tc>
      </w:tr>
      <w:tr w:rsidR="005166B9" w14:paraId="2D491416" w14:textId="77777777">
        <w:tc>
          <w:tcPr>
            <w:tcW w:w="2445" w:type="dxa"/>
          </w:tcPr>
          <w:p w14:paraId="75278888" w14:textId="77777777" w:rsidR="005166B9" w:rsidRDefault="00FD469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"Standards"</w:t>
            </w:r>
          </w:p>
        </w:tc>
        <w:tc>
          <w:tcPr>
            <w:tcW w:w="7515" w:type="dxa"/>
          </w:tcPr>
          <w:p w14:paraId="08ADC0A0" w14:textId="77777777" w:rsidR="005166B9" w:rsidRDefault="00FD469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w:t>
            </w:r>
          </w:p>
          <w:p w14:paraId="0CC35DDF" w14:textId="77777777" w:rsidR="005166B9" w:rsidRDefault="00FD4693">
            <w:pPr>
              <w:numPr>
                <w:ilvl w:val="1"/>
                <w:numId w:val="20"/>
              </w:numPr>
              <w:pBdr>
                <w:top w:val="nil"/>
                <w:left w:val="nil"/>
                <w:bottom w:val="nil"/>
                <w:right w:val="nil"/>
                <w:between w:val="nil"/>
              </w:pBdr>
              <w:tabs>
                <w:tab w:val="left" w:pos="-576"/>
                <w:tab w:val="left" w:pos="144"/>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standards published by BSI British Standards, the National Standards Body of the United Kingdom, the International Organisation for Standardisation or other reputable or equivalent bodies (and their successor bodies) that a skilled and experienced operator in the same type of industry or business sector as the Supplier would reasonably and ordinarily be expected to comply with; </w:t>
            </w:r>
          </w:p>
          <w:p w14:paraId="3DF4D9C7" w14:textId="77777777" w:rsidR="005166B9" w:rsidRDefault="00FD4693">
            <w:pPr>
              <w:numPr>
                <w:ilvl w:val="1"/>
                <w:numId w:val="20"/>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standards detailed in the specification in Schedule 1 (Specification);</w:t>
            </w:r>
          </w:p>
          <w:p w14:paraId="75536FBF" w14:textId="77777777" w:rsidR="005166B9" w:rsidRDefault="00FD4693">
            <w:pPr>
              <w:numPr>
                <w:ilvl w:val="1"/>
                <w:numId w:val="20"/>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standards detailed by the Buyer in the Order Form or agreed between the Parties from time to time;</w:t>
            </w:r>
          </w:p>
          <w:p w14:paraId="1CF2E508" w14:textId="77777777" w:rsidR="005166B9" w:rsidRDefault="00FD4693">
            <w:pPr>
              <w:numPr>
                <w:ilvl w:val="1"/>
                <w:numId w:val="20"/>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relevant Government codes of practice and guidance applicable from time to time;</w:t>
            </w:r>
          </w:p>
        </w:tc>
      </w:tr>
      <w:tr w:rsidR="005166B9" w14:paraId="1F877798" w14:textId="77777777">
        <w:tc>
          <w:tcPr>
            <w:tcW w:w="2445" w:type="dxa"/>
          </w:tcPr>
          <w:p w14:paraId="679461F6" w14:textId="77777777" w:rsidR="005166B9" w:rsidRDefault="00FD469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"Start Date"</w:t>
            </w:r>
          </w:p>
        </w:tc>
        <w:tc>
          <w:tcPr>
            <w:tcW w:w="7515" w:type="dxa"/>
          </w:tcPr>
          <w:p w14:paraId="427F0FA1" w14:textId="77777777" w:rsidR="005166B9" w:rsidRDefault="00FD469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in the case of the Framework Contract, the date specified on the Framework Award Form, and in the case of a Call-Off Contract, the date specified in the Order Form;</w:t>
            </w:r>
          </w:p>
        </w:tc>
      </w:tr>
      <w:tr w:rsidR="005166B9" w14:paraId="114EEA06" w14:textId="77777777">
        <w:tc>
          <w:tcPr>
            <w:tcW w:w="2445" w:type="dxa"/>
          </w:tcPr>
          <w:p w14:paraId="2B03CF79" w14:textId="77777777" w:rsidR="005166B9" w:rsidRDefault="00FD4693">
            <w:pPr>
              <w:keepNext/>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"Statement of Requirements"</w:t>
            </w:r>
          </w:p>
        </w:tc>
        <w:tc>
          <w:tcPr>
            <w:tcW w:w="7515" w:type="dxa"/>
          </w:tcPr>
          <w:p w14:paraId="4C3B12D9" w14:textId="77777777" w:rsidR="005166B9" w:rsidRDefault="00FD469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 statement issued by the Buyer detailing its requirements in respect of Deliverables issued in accordance with the Call-Off Procedure;</w:t>
            </w:r>
          </w:p>
        </w:tc>
      </w:tr>
      <w:tr w:rsidR="005166B9" w14:paraId="639FCA9C" w14:textId="77777777">
        <w:tc>
          <w:tcPr>
            <w:tcW w:w="2445" w:type="dxa"/>
          </w:tcPr>
          <w:p w14:paraId="1B749DD5" w14:textId="77777777" w:rsidR="005166B9" w:rsidRDefault="00FD469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"Storage Media"</w:t>
            </w:r>
          </w:p>
        </w:tc>
        <w:tc>
          <w:tcPr>
            <w:tcW w:w="7515" w:type="dxa"/>
          </w:tcPr>
          <w:p w14:paraId="63D7A9F3" w14:textId="77777777" w:rsidR="005166B9" w:rsidRDefault="00FD469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the part of any device that is capable of storing and retrieving data; </w:t>
            </w:r>
          </w:p>
        </w:tc>
      </w:tr>
      <w:tr w:rsidR="005166B9" w14:paraId="4DA47138" w14:textId="77777777">
        <w:tc>
          <w:tcPr>
            <w:tcW w:w="2445" w:type="dxa"/>
          </w:tcPr>
          <w:p w14:paraId="042C9BC4" w14:textId="77777777" w:rsidR="005166B9" w:rsidRDefault="00FD4693">
            <w:pPr>
              <w:keepNext/>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"Sub-Contract"</w:t>
            </w:r>
          </w:p>
        </w:tc>
        <w:tc>
          <w:tcPr>
            <w:tcW w:w="7515" w:type="dxa"/>
          </w:tcPr>
          <w:p w14:paraId="3E60608E" w14:textId="77777777" w:rsidR="005166B9" w:rsidRDefault="00FD469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contract or agreement (or proposed contract or agreement), other than a Call-Off Contract or the Framework Contract, pursuant to which a third party:</w:t>
            </w:r>
          </w:p>
          <w:p w14:paraId="126503D3" w14:textId="77777777" w:rsidR="005166B9" w:rsidRDefault="00FD4693">
            <w:pPr>
              <w:numPr>
                <w:ilvl w:val="1"/>
                <w:numId w:val="21"/>
              </w:numPr>
              <w:pBdr>
                <w:top w:val="nil"/>
                <w:left w:val="nil"/>
                <w:bottom w:val="nil"/>
                <w:right w:val="nil"/>
                <w:between w:val="nil"/>
              </w:pBdr>
              <w:tabs>
                <w:tab w:val="left" w:pos="-576"/>
                <w:tab w:val="left" w:pos="144"/>
              </w:tabs>
              <w:spacing w:after="120"/>
              <w:jc w:val="both"/>
              <w:rPr>
                <w:rFonts w:ascii="Arial" w:eastAsia="Arial" w:hAnsi="Arial" w:cs="Arial"/>
                <w:color w:val="000000"/>
                <w:sz w:val="24"/>
                <w:szCs w:val="24"/>
              </w:rPr>
            </w:pPr>
            <w:r>
              <w:rPr>
                <w:rFonts w:ascii="Arial" w:eastAsia="Arial" w:hAnsi="Arial" w:cs="Arial"/>
                <w:color w:val="000000"/>
                <w:sz w:val="24"/>
                <w:szCs w:val="24"/>
              </w:rPr>
              <w:t>provides the Deliverables (or any part of them);</w:t>
            </w:r>
          </w:p>
          <w:p w14:paraId="48508022" w14:textId="77777777" w:rsidR="005166B9" w:rsidRDefault="00FD4693">
            <w:pPr>
              <w:numPr>
                <w:ilvl w:val="1"/>
                <w:numId w:val="21"/>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provides facilities or services necessary for the provision of the Deliverables (or any part of them); and/or</w:t>
            </w:r>
          </w:p>
          <w:p w14:paraId="535060F5" w14:textId="77777777" w:rsidR="005166B9" w:rsidRDefault="00FD4693">
            <w:pPr>
              <w:numPr>
                <w:ilvl w:val="1"/>
                <w:numId w:val="21"/>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is responsible for the management, direction or control of the provision of the Deliverables (or any part of them);</w:t>
            </w:r>
          </w:p>
        </w:tc>
      </w:tr>
      <w:tr w:rsidR="005166B9" w14:paraId="0511C0D6" w14:textId="77777777">
        <w:tc>
          <w:tcPr>
            <w:tcW w:w="2445" w:type="dxa"/>
          </w:tcPr>
          <w:p w14:paraId="38983F7F" w14:textId="77777777" w:rsidR="005166B9" w:rsidRDefault="00FD469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"Subcontractor"</w:t>
            </w:r>
          </w:p>
        </w:tc>
        <w:tc>
          <w:tcPr>
            <w:tcW w:w="7515" w:type="dxa"/>
          </w:tcPr>
          <w:p w14:paraId="43C8AFEC" w14:textId="77777777" w:rsidR="005166B9" w:rsidRDefault="00FD469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person other than the Supplier, who is a party to a Sub-Contract and the servants or agents of that person;</w:t>
            </w:r>
          </w:p>
        </w:tc>
      </w:tr>
      <w:tr w:rsidR="005166B9" w14:paraId="04314E1E" w14:textId="77777777">
        <w:tc>
          <w:tcPr>
            <w:tcW w:w="2445" w:type="dxa"/>
          </w:tcPr>
          <w:p w14:paraId="151F8BE4" w14:textId="77777777" w:rsidR="005166B9" w:rsidRDefault="00FD469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w:t>
            </w:r>
            <w:proofErr w:type="spellStart"/>
            <w:r>
              <w:rPr>
                <w:rFonts w:ascii="Arial" w:eastAsia="Arial" w:hAnsi="Arial" w:cs="Arial"/>
                <w:b/>
                <w:color w:val="000000"/>
                <w:sz w:val="24"/>
                <w:szCs w:val="24"/>
              </w:rPr>
              <w:t>Subprocessor</w:t>
            </w:r>
            <w:proofErr w:type="spellEnd"/>
            <w:r>
              <w:rPr>
                <w:rFonts w:ascii="Arial" w:eastAsia="Arial" w:hAnsi="Arial" w:cs="Arial"/>
                <w:b/>
                <w:color w:val="000000"/>
                <w:sz w:val="24"/>
                <w:szCs w:val="24"/>
              </w:rPr>
              <w:t>"</w:t>
            </w:r>
          </w:p>
        </w:tc>
        <w:tc>
          <w:tcPr>
            <w:tcW w:w="7515" w:type="dxa"/>
          </w:tcPr>
          <w:p w14:paraId="76465B81" w14:textId="77777777" w:rsidR="005166B9" w:rsidRDefault="00FD469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third Party appointed to process Personal Data on behalf of that Processor related to a Contract;</w:t>
            </w:r>
          </w:p>
        </w:tc>
      </w:tr>
      <w:tr w:rsidR="00246275" w14:paraId="5D898074" w14:textId="77777777">
        <w:tc>
          <w:tcPr>
            <w:tcW w:w="2445" w:type="dxa"/>
          </w:tcPr>
          <w:p w14:paraId="728E77E3" w14:textId="77777777" w:rsidR="00246275" w:rsidRDefault="00246275" w:rsidP="00246275">
            <w:pPr>
              <w:pBdr>
                <w:top w:val="nil"/>
                <w:left w:val="nil"/>
                <w:bottom w:val="nil"/>
                <w:right w:val="nil"/>
                <w:between w:val="nil"/>
              </w:pBdr>
              <w:spacing w:after="120"/>
              <w:ind w:left="-108"/>
              <w:rPr>
                <w:rFonts w:ascii="Arial" w:eastAsia="Arial" w:hAnsi="Arial" w:cs="Arial"/>
                <w:b/>
                <w:color w:val="000000"/>
                <w:sz w:val="24"/>
                <w:szCs w:val="24"/>
              </w:rPr>
            </w:pPr>
            <w:r w:rsidRPr="0097484D">
              <w:rPr>
                <w:rFonts w:ascii="Arial" w:hAnsi="Arial" w:cs="Arial"/>
                <w:b/>
                <w:sz w:val="24"/>
                <w:szCs w:val="24"/>
              </w:rPr>
              <w:t>“Subsidiary Undertaking”</w:t>
            </w:r>
          </w:p>
        </w:tc>
        <w:tc>
          <w:tcPr>
            <w:tcW w:w="7515" w:type="dxa"/>
          </w:tcPr>
          <w:p w14:paraId="5E9A38FF" w14:textId="77777777" w:rsidR="00246275" w:rsidRDefault="00246275" w:rsidP="00246275">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sidRPr="0097484D">
              <w:rPr>
                <w:rFonts w:ascii="Arial" w:hAnsi="Arial" w:cs="Arial"/>
                <w:sz w:val="24"/>
                <w:szCs w:val="24"/>
              </w:rPr>
              <w:t>has the meaning set out in section 1162 of the Companies Act 2006;</w:t>
            </w:r>
          </w:p>
        </w:tc>
      </w:tr>
      <w:tr w:rsidR="00246275" w14:paraId="776DD6F1" w14:textId="77777777">
        <w:tc>
          <w:tcPr>
            <w:tcW w:w="2445" w:type="dxa"/>
          </w:tcPr>
          <w:p w14:paraId="7F11B89B" w14:textId="77777777" w:rsidR="00246275" w:rsidRDefault="00246275" w:rsidP="00246275">
            <w:pPr>
              <w:pBdr>
                <w:top w:val="nil"/>
                <w:left w:val="nil"/>
                <w:bottom w:val="nil"/>
                <w:right w:val="nil"/>
                <w:between w:val="nil"/>
              </w:pBdr>
              <w:spacing w:after="120"/>
              <w:ind w:left="-108"/>
              <w:rPr>
                <w:rFonts w:ascii="Arial" w:eastAsia="Arial" w:hAnsi="Arial" w:cs="Arial"/>
                <w:b/>
                <w:color w:val="000000"/>
                <w:sz w:val="24"/>
                <w:szCs w:val="24"/>
              </w:rPr>
            </w:pPr>
            <w:r w:rsidRPr="0097484D">
              <w:rPr>
                <w:rFonts w:ascii="Arial" w:hAnsi="Arial" w:cs="Arial"/>
                <w:b/>
                <w:sz w:val="24"/>
                <w:szCs w:val="24"/>
              </w:rPr>
              <w:t>“Supplier Group”</w:t>
            </w:r>
          </w:p>
        </w:tc>
        <w:tc>
          <w:tcPr>
            <w:tcW w:w="7515" w:type="dxa"/>
          </w:tcPr>
          <w:p w14:paraId="65E403AC" w14:textId="77777777" w:rsidR="00246275" w:rsidRDefault="00246275" w:rsidP="00246275">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sidRPr="0097484D">
              <w:rPr>
                <w:rFonts w:ascii="Arial" w:hAnsi="Arial" w:cs="Arial"/>
                <w:sz w:val="24"/>
                <w:szCs w:val="24"/>
              </w:rPr>
              <w:t>means the Supplier, its Dependent Parent Undertakings and all Subsidiary Undertakings and Associates of such Dependent Parent Undertakings;</w:t>
            </w:r>
            <w:r>
              <w:rPr>
                <w:rFonts w:ascii="Arial" w:hAnsi="Arial" w:cs="Arial"/>
                <w:sz w:val="24"/>
                <w:szCs w:val="24"/>
              </w:rPr>
              <w:t xml:space="preserve"> and</w:t>
            </w:r>
          </w:p>
        </w:tc>
      </w:tr>
      <w:tr w:rsidR="00246275" w14:paraId="4FBFDDCA" w14:textId="77777777">
        <w:tc>
          <w:tcPr>
            <w:tcW w:w="2445" w:type="dxa"/>
          </w:tcPr>
          <w:p w14:paraId="4BDBC640" w14:textId="77777777" w:rsidR="00246275" w:rsidRDefault="00246275" w:rsidP="00246275">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"Supplier"</w:t>
            </w:r>
          </w:p>
        </w:tc>
        <w:tc>
          <w:tcPr>
            <w:tcW w:w="7515" w:type="dxa"/>
          </w:tcPr>
          <w:p w14:paraId="495151E7" w14:textId="77777777" w:rsidR="00246275" w:rsidRDefault="00246275" w:rsidP="00246275">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person, firm or company identified in the Framework Award Form;</w:t>
            </w:r>
          </w:p>
        </w:tc>
      </w:tr>
      <w:tr w:rsidR="00246275" w14:paraId="40D12088" w14:textId="77777777">
        <w:tc>
          <w:tcPr>
            <w:tcW w:w="2445" w:type="dxa"/>
          </w:tcPr>
          <w:p w14:paraId="0EAC642E" w14:textId="77777777" w:rsidR="00246275" w:rsidRDefault="00246275" w:rsidP="00246275">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"Supplier Assets"</w:t>
            </w:r>
          </w:p>
        </w:tc>
        <w:tc>
          <w:tcPr>
            <w:tcW w:w="7515" w:type="dxa"/>
          </w:tcPr>
          <w:p w14:paraId="068BEB5E" w14:textId="77777777" w:rsidR="00246275" w:rsidRDefault="00246275" w:rsidP="00246275">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all assets and rights used by the Supplier to provide the Deliverables in accordance with the Call-Off Contract but excluding the Buyer Assets;</w:t>
            </w:r>
          </w:p>
        </w:tc>
      </w:tr>
      <w:tr w:rsidR="00246275" w14:paraId="19AE30D4" w14:textId="77777777">
        <w:tc>
          <w:tcPr>
            <w:tcW w:w="2445" w:type="dxa"/>
          </w:tcPr>
          <w:p w14:paraId="31D9E1C4" w14:textId="77777777" w:rsidR="00246275" w:rsidRDefault="00246275" w:rsidP="00246275">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"Supplier Authorised Representative"</w:t>
            </w:r>
          </w:p>
        </w:tc>
        <w:tc>
          <w:tcPr>
            <w:tcW w:w="7515" w:type="dxa"/>
          </w:tcPr>
          <w:p w14:paraId="0EB6E64F" w14:textId="77777777" w:rsidR="00246275" w:rsidRDefault="00246275" w:rsidP="00246275">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the representative appointed by the Supplier named in the Framework Award Form, or later defined in a Call-Off Contract; </w:t>
            </w:r>
          </w:p>
        </w:tc>
      </w:tr>
      <w:tr w:rsidR="00246275" w14:paraId="644B5EE2" w14:textId="77777777">
        <w:tc>
          <w:tcPr>
            <w:tcW w:w="2445" w:type="dxa"/>
          </w:tcPr>
          <w:p w14:paraId="4A93FD79" w14:textId="77777777" w:rsidR="00246275" w:rsidRDefault="00246275" w:rsidP="00246275">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"Supplier's Confidential Information"</w:t>
            </w:r>
          </w:p>
        </w:tc>
        <w:tc>
          <w:tcPr>
            <w:tcW w:w="7515" w:type="dxa"/>
          </w:tcPr>
          <w:p w14:paraId="2A6FD73C" w14:textId="77777777" w:rsidR="00246275" w:rsidRDefault="00246275" w:rsidP="00246275">
            <w:pPr>
              <w:numPr>
                <w:ilvl w:val="1"/>
                <w:numId w:val="22"/>
              </w:numPr>
              <w:pBdr>
                <w:top w:val="nil"/>
                <w:left w:val="nil"/>
                <w:bottom w:val="nil"/>
                <w:right w:val="nil"/>
                <w:between w:val="nil"/>
              </w:pBdr>
              <w:tabs>
                <w:tab w:val="left" w:pos="-576"/>
                <w:tab w:val="left" w:pos="144"/>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any information, however it is conveyed, that relates to the business, affairs, developments, IPR of the Supplier (including the Supplier Existing IPR) trade secrets, Know-How, and/or personnel of the Supplier; </w:t>
            </w:r>
          </w:p>
          <w:p w14:paraId="1FA0EF31" w14:textId="77777777" w:rsidR="00246275" w:rsidRDefault="00246275" w:rsidP="00246275">
            <w:pPr>
              <w:numPr>
                <w:ilvl w:val="1"/>
                <w:numId w:val="22"/>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any other information clearly designated as being confidential (whether or not it is marked as "confidential") or which ought reasonably to be considered to be confidential and which comes (or has come) to the Supplier’s attention or into the Supplier’s possession in connection with a Contract;</w:t>
            </w:r>
          </w:p>
          <w:p w14:paraId="7C04EED5" w14:textId="77777777" w:rsidR="00246275" w:rsidRDefault="00246275" w:rsidP="00246275">
            <w:pPr>
              <w:numPr>
                <w:ilvl w:val="1"/>
                <w:numId w:val="22"/>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Information derived from any of (a) and (b) above;</w:t>
            </w:r>
          </w:p>
        </w:tc>
      </w:tr>
      <w:tr w:rsidR="00246275" w14:paraId="113CAE1B" w14:textId="77777777">
        <w:tc>
          <w:tcPr>
            <w:tcW w:w="2445" w:type="dxa"/>
          </w:tcPr>
          <w:p w14:paraId="3A83E788" w14:textId="77777777" w:rsidR="00246275" w:rsidRDefault="00246275" w:rsidP="00246275">
            <w:pPr>
              <w:pBdr>
                <w:top w:val="nil"/>
                <w:left w:val="nil"/>
                <w:bottom w:val="nil"/>
                <w:right w:val="nil"/>
                <w:between w:val="nil"/>
              </w:pBdr>
              <w:tabs>
                <w:tab w:val="left" w:pos="1134"/>
              </w:tabs>
              <w:spacing w:before="120" w:after="120"/>
              <w:ind w:left="928" w:hanging="360"/>
              <w:rPr>
                <w:rFonts w:ascii="Arial" w:eastAsia="Arial" w:hAnsi="Arial" w:cs="Arial"/>
                <w:b/>
                <w:color w:val="000000"/>
                <w:sz w:val="24"/>
                <w:szCs w:val="24"/>
              </w:rPr>
            </w:pPr>
            <w:r>
              <w:rPr>
                <w:rFonts w:ascii="Arial" w:eastAsia="Arial" w:hAnsi="Arial" w:cs="Arial"/>
                <w:b/>
                <w:color w:val="000000"/>
                <w:sz w:val="24"/>
                <w:szCs w:val="24"/>
              </w:rPr>
              <w:t xml:space="preserve">"Supplier's Contract Manager </w:t>
            </w:r>
          </w:p>
        </w:tc>
        <w:tc>
          <w:tcPr>
            <w:tcW w:w="7515" w:type="dxa"/>
          </w:tcPr>
          <w:p w14:paraId="715627AB" w14:textId="77777777" w:rsidR="00246275" w:rsidRDefault="00246275" w:rsidP="00246275">
            <w:pPr>
              <w:pBdr>
                <w:top w:val="nil"/>
                <w:left w:val="nil"/>
                <w:bottom w:val="nil"/>
                <w:right w:val="nil"/>
                <w:between w:val="nil"/>
              </w:pBdr>
              <w:tabs>
                <w:tab w:val="left" w:pos="1134"/>
              </w:tabs>
              <w:spacing w:before="120" w:after="120"/>
              <w:ind w:left="928" w:hanging="360"/>
              <w:jc w:val="both"/>
              <w:rPr>
                <w:rFonts w:ascii="Arial" w:eastAsia="Arial" w:hAnsi="Arial" w:cs="Arial"/>
                <w:b/>
                <w:color w:val="000000"/>
                <w:sz w:val="24"/>
                <w:szCs w:val="24"/>
              </w:rPr>
            </w:pPr>
            <w:r>
              <w:rPr>
                <w:rFonts w:ascii="Arial" w:eastAsia="Arial" w:hAnsi="Arial" w:cs="Arial"/>
                <w:color w:val="000000"/>
                <w:sz w:val="24"/>
                <w:szCs w:val="24"/>
              </w:rPr>
              <w:t>the person identified in the Order Form appointed by the Supplier to oversee the operation of the Call-Off Contract and any alternative person whom the Supplier intends to appoint to the role, provided that the Supplier informs the Buyer prior to the appointment;</w:t>
            </w:r>
          </w:p>
        </w:tc>
      </w:tr>
      <w:tr w:rsidR="00246275" w14:paraId="0CA34709" w14:textId="77777777">
        <w:tc>
          <w:tcPr>
            <w:tcW w:w="2445" w:type="dxa"/>
          </w:tcPr>
          <w:p w14:paraId="5FEFF356" w14:textId="77777777" w:rsidR="00246275" w:rsidRDefault="00246275" w:rsidP="00246275">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"Supplier Equipment"</w:t>
            </w:r>
          </w:p>
        </w:tc>
        <w:tc>
          <w:tcPr>
            <w:tcW w:w="7515" w:type="dxa"/>
          </w:tcPr>
          <w:p w14:paraId="1357068F" w14:textId="77777777" w:rsidR="00246275" w:rsidRDefault="00246275" w:rsidP="00246275">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Supplier's hardware, computer and telecoms devices, equipment, plant, materials and such other items supplied and used by the Supplier (but not hired, leased or loaned from the Buyer) in the performance of its obligations under this Call-Off Contract;</w:t>
            </w:r>
          </w:p>
        </w:tc>
      </w:tr>
      <w:tr w:rsidR="00CA10C3" w14:paraId="5659AFAE" w14:textId="77777777">
        <w:tc>
          <w:tcPr>
            <w:tcW w:w="2445" w:type="dxa"/>
          </w:tcPr>
          <w:p w14:paraId="1CFC5D45" w14:textId="1B74F8FA" w:rsidR="00CA10C3" w:rsidRDefault="00CA10C3" w:rsidP="00CA10C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"Supplier Existing IPR"</w:t>
            </w:r>
          </w:p>
        </w:tc>
        <w:tc>
          <w:tcPr>
            <w:tcW w:w="7515" w:type="dxa"/>
          </w:tcPr>
          <w:p w14:paraId="1892E4A1" w14:textId="71803DB9" w:rsidR="00CA10C3" w:rsidRDefault="00CA10C3" w:rsidP="00CA10C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and all IPR that are owned by or licensed to the Supplier and which are or have been developed independently of this Contract (whether prior to the Effective Date or otherwise);</w:t>
            </w:r>
          </w:p>
        </w:tc>
      </w:tr>
      <w:tr w:rsidR="00CA10C3" w14:paraId="45DDB999" w14:textId="77777777">
        <w:tc>
          <w:tcPr>
            <w:tcW w:w="2445" w:type="dxa"/>
          </w:tcPr>
          <w:p w14:paraId="68852114" w14:textId="2D2C1D9A" w:rsidR="00CA10C3" w:rsidRDefault="00CA10C3" w:rsidP="00CA10C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"Supplier Existing IPR Licence"</w:t>
            </w:r>
          </w:p>
        </w:tc>
        <w:tc>
          <w:tcPr>
            <w:tcW w:w="7515" w:type="dxa"/>
          </w:tcPr>
          <w:p w14:paraId="5652E9BC" w14:textId="6019FBF4" w:rsidR="00CA10C3" w:rsidRDefault="00CA10C3" w:rsidP="00CA10C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means a licence to be offered by the Supplier to the Supplier Existing IPR as set out in </w:t>
            </w:r>
            <w:r w:rsidR="00887890">
              <w:rPr>
                <w:rFonts w:ascii="Arial" w:eastAsia="Arial" w:hAnsi="Arial" w:cs="Arial"/>
                <w:color w:val="000000"/>
                <w:sz w:val="24"/>
                <w:szCs w:val="24"/>
              </w:rPr>
              <w:t xml:space="preserve">Call-Off </w:t>
            </w:r>
            <w:r>
              <w:rPr>
                <w:rFonts w:ascii="Arial" w:eastAsia="Arial" w:hAnsi="Arial" w:cs="Arial"/>
                <w:color w:val="000000"/>
                <w:sz w:val="24"/>
                <w:szCs w:val="24"/>
              </w:rPr>
              <w:t>Schedule 26 (Intellectual Property Rights);</w:t>
            </w:r>
          </w:p>
        </w:tc>
      </w:tr>
      <w:tr w:rsidR="00246275" w14:paraId="4CDEDA18" w14:textId="77777777">
        <w:tc>
          <w:tcPr>
            <w:tcW w:w="2445" w:type="dxa"/>
          </w:tcPr>
          <w:p w14:paraId="6EE8E8C0" w14:textId="77777777" w:rsidR="00246275" w:rsidRDefault="00246275" w:rsidP="00246275">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"Supplier Marketing Contact"</w:t>
            </w:r>
          </w:p>
        </w:tc>
        <w:tc>
          <w:tcPr>
            <w:tcW w:w="7515" w:type="dxa"/>
          </w:tcPr>
          <w:p w14:paraId="78360EB3" w14:textId="77777777" w:rsidR="00246275" w:rsidRDefault="00246275" w:rsidP="00246275">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shall be the person identified in the Framework Award Form;</w:t>
            </w:r>
          </w:p>
        </w:tc>
      </w:tr>
      <w:tr w:rsidR="00CA10C3" w14:paraId="6D6D5D30" w14:textId="77777777">
        <w:tc>
          <w:tcPr>
            <w:tcW w:w="2445" w:type="dxa"/>
          </w:tcPr>
          <w:p w14:paraId="46705CBA" w14:textId="6C46547E" w:rsidR="00CA10C3" w:rsidRDefault="00CA10C3" w:rsidP="00CA10C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"Supplier New and Existing IPR Licence"</w:t>
            </w:r>
          </w:p>
        </w:tc>
        <w:tc>
          <w:tcPr>
            <w:tcW w:w="7515" w:type="dxa"/>
          </w:tcPr>
          <w:p w14:paraId="5FA238E4" w14:textId="3DA4FF0C" w:rsidR="00CA10C3" w:rsidRDefault="00CA10C3" w:rsidP="00CA10C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sidRPr="003C5AE1">
              <w:rPr>
                <w:rFonts w:ascii="Arial" w:eastAsia="Arial" w:hAnsi="Arial" w:cs="Arial"/>
                <w:color w:val="000000"/>
                <w:sz w:val="24"/>
                <w:szCs w:val="24"/>
              </w:rPr>
              <w:t xml:space="preserve">means a licence to be offered by the Supplier to the New IPR and Supplier Existing IPR as set out in </w:t>
            </w:r>
            <w:r w:rsidR="00887890">
              <w:rPr>
                <w:rFonts w:ascii="Arial" w:eastAsia="Arial" w:hAnsi="Arial" w:cs="Arial"/>
                <w:color w:val="000000"/>
                <w:sz w:val="24"/>
                <w:szCs w:val="24"/>
              </w:rPr>
              <w:t xml:space="preserve">Call-Off </w:t>
            </w:r>
            <w:r w:rsidRPr="003C5AE1">
              <w:rPr>
                <w:rFonts w:ascii="Arial" w:eastAsia="Arial" w:hAnsi="Arial" w:cs="Arial"/>
                <w:color w:val="000000"/>
                <w:sz w:val="24"/>
                <w:szCs w:val="24"/>
              </w:rPr>
              <w:t xml:space="preserve">Schedule </w:t>
            </w:r>
            <w:r w:rsidR="00887890">
              <w:rPr>
                <w:rFonts w:ascii="Arial" w:eastAsia="Arial" w:hAnsi="Arial" w:cs="Arial"/>
                <w:color w:val="000000"/>
                <w:sz w:val="24"/>
                <w:szCs w:val="24"/>
              </w:rPr>
              <w:t>2</w:t>
            </w:r>
            <w:r w:rsidRPr="003C5AE1">
              <w:rPr>
                <w:rFonts w:ascii="Arial" w:eastAsia="Arial" w:hAnsi="Arial" w:cs="Arial"/>
                <w:color w:val="000000"/>
                <w:sz w:val="24"/>
                <w:szCs w:val="24"/>
              </w:rPr>
              <w:t xml:space="preserve">6 (Intellectual Property Rights); </w:t>
            </w:r>
            <w:r w:rsidRPr="003C5AE1">
              <w:rPr>
                <w:rFonts w:ascii="Arial" w:eastAsia="Arial" w:hAnsi="Arial" w:cs="Arial"/>
                <w:b/>
                <w:bCs/>
                <w:i/>
                <w:iCs/>
                <w:color w:val="000000"/>
                <w:sz w:val="24"/>
                <w:szCs w:val="24"/>
              </w:rPr>
              <w:t>[</w:t>
            </w:r>
            <w:r w:rsidRPr="003C5AE1">
              <w:rPr>
                <w:rFonts w:ascii="Arial" w:eastAsia="Arial" w:hAnsi="Arial" w:cs="Arial"/>
                <w:b/>
                <w:bCs/>
                <w:i/>
                <w:iCs/>
                <w:color w:val="000000"/>
                <w:sz w:val="24"/>
                <w:szCs w:val="24"/>
                <w:highlight w:val="yellow"/>
              </w:rPr>
              <w:t>Guidance: include the following wording where Part B of Schedule 36 (Intellectual Property Rights) is used] [but excluding Buyer Software</w:t>
            </w:r>
            <w:r w:rsidRPr="003C5AE1">
              <w:rPr>
                <w:rFonts w:ascii="Arial" w:eastAsia="Arial" w:hAnsi="Arial" w:cs="Arial"/>
                <w:b/>
                <w:bCs/>
                <w:i/>
                <w:iCs/>
                <w:color w:val="000000"/>
                <w:sz w:val="24"/>
                <w:szCs w:val="24"/>
              </w:rPr>
              <w:t>].</w:t>
            </w:r>
          </w:p>
        </w:tc>
      </w:tr>
      <w:tr w:rsidR="00246275" w14:paraId="24C562B7" w14:textId="77777777">
        <w:tc>
          <w:tcPr>
            <w:tcW w:w="2445" w:type="dxa"/>
          </w:tcPr>
          <w:p w14:paraId="1C61A84F" w14:textId="77777777" w:rsidR="00246275" w:rsidRDefault="00246275" w:rsidP="00246275">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"Supplier Non-Performance"</w:t>
            </w:r>
          </w:p>
        </w:tc>
        <w:tc>
          <w:tcPr>
            <w:tcW w:w="7515" w:type="dxa"/>
          </w:tcPr>
          <w:p w14:paraId="69828D27" w14:textId="77777777" w:rsidR="00246275" w:rsidRDefault="00246275" w:rsidP="00246275">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where the Supplier has failed to:</w:t>
            </w:r>
          </w:p>
          <w:p w14:paraId="506E02AF" w14:textId="77777777" w:rsidR="00246275" w:rsidRDefault="00246275" w:rsidP="00246275">
            <w:pPr>
              <w:numPr>
                <w:ilvl w:val="1"/>
                <w:numId w:val="13"/>
              </w:numPr>
              <w:pBdr>
                <w:top w:val="nil"/>
                <w:left w:val="nil"/>
                <w:bottom w:val="nil"/>
                <w:right w:val="nil"/>
                <w:between w:val="nil"/>
              </w:pBdr>
              <w:tabs>
                <w:tab w:val="left" w:pos="-576"/>
                <w:tab w:val="left" w:pos="144"/>
              </w:tabs>
              <w:spacing w:after="120"/>
              <w:jc w:val="both"/>
              <w:rPr>
                <w:rFonts w:ascii="Arial" w:eastAsia="Arial" w:hAnsi="Arial" w:cs="Arial"/>
                <w:color w:val="000000"/>
                <w:sz w:val="24"/>
                <w:szCs w:val="24"/>
              </w:rPr>
            </w:pPr>
            <w:r>
              <w:rPr>
                <w:rFonts w:ascii="Arial" w:eastAsia="Arial" w:hAnsi="Arial" w:cs="Arial"/>
                <w:color w:val="000000"/>
                <w:sz w:val="24"/>
                <w:szCs w:val="24"/>
              </w:rPr>
              <w:t>Achieve a Milestone by its Milestone Date;</w:t>
            </w:r>
          </w:p>
          <w:p w14:paraId="2769D489" w14:textId="77777777" w:rsidR="00246275" w:rsidRDefault="00246275" w:rsidP="00246275">
            <w:pPr>
              <w:numPr>
                <w:ilvl w:val="1"/>
                <w:numId w:val="13"/>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 xml:space="preserve">provide the Goods and/or Services in accordance with the Service </w:t>
            </w:r>
            <w:proofErr w:type="gramStart"/>
            <w:r>
              <w:rPr>
                <w:rFonts w:ascii="Arial" w:eastAsia="Arial" w:hAnsi="Arial" w:cs="Arial"/>
                <w:color w:val="000000"/>
                <w:sz w:val="24"/>
                <w:szCs w:val="24"/>
              </w:rPr>
              <w:t>Levels ;</w:t>
            </w:r>
            <w:proofErr w:type="gramEnd"/>
            <w:r>
              <w:rPr>
                <w:rFonts w:ascii="Arial" w:eastAsia="Arial" w:hAnsi="Arial" w:cs="Arial"/>
                <w:color w:val="000000"/>
                <w:sz w:val="24"/>
                <w:szCs w:val="24"/>
              </w:rPr>
              <w:t xml:space="preserve"> and/or</w:t>
            </w:r>
          </w:p>
          <w:p w14:paraId="220B40E5" w14:textId="77777777" w:rsidR="00246275" w:rsidRDefault="00246275" w:rsidP="00246275">
            <w:pPr>
              <w:numPr>
                <w:ilvl w:val="1"/>
                <w:numId w:val="13"/>
              </w:numPr>
              <w:pBdr>
                <w:top w:val="nil"/>
                <w:left w:val="nil"/>
                <w:bottom w:val="nil"/>
                <w:right w:val="nil"/>
                <w:between w:val="nil"/>
              </w:pBdr>
              <w:tabs>
                <w:tab w:val="left" w:pos="-576"/>
                <w:tab w:val="left" w:pos="144"/>
              </w:tabs>
              <w:spacing w:after="120"/>
              <w:ind w:left="576" w:hanging="432"/>
              <w:jc w:val="both"/>
              <w:rPr>
                <w:rFonts w:ascii="Arial" w:eastAsia="Arial" w:hAnsi="Arial" w:cs="Arial"/>
                <w:color w:val="000000"/>
                <w:sz w:val="24"/>
                <w:szCs w:val="24"/>
              </w:rPr>
            </w:pPr>
            <w:r>
              <w:rPr>
                <w:rFonts w:ascii="Arial" w:eastAsia="Arial" w:hAnsi="Arial" w:cs="Arial"/>
                <w:color w:val="000000"/>
                <w:sz w:val="24"/>
                <w:szCs w:val="24"/>
              </w:rPr>
              <w:t>comply with an obligation under a Contract;</w:t>
            </w:r>
          </w:p>
        </w:tc>
      </w:tr>
      <w:tr w:rsidR="00246275" w14:paraId="7327CC3F" w14:textId="77777777">
        <w:tc>
          <w:tcPr>
            <w:tcW w:w="2445" w:type="dxa"/>
          </w:tcPr>
          <w:p w14:paraId="4368D1EF" w14:textId="77777777" w:rsidR="00246275" w:rsidRDefault="00246275" w:rsidP="00246275">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"Supplier Profit"</w:t>
            </w:r>
          </w:p>
        </w:tc>
        <w:tc>
          <w:tcPr>
            <w:tcW w:w="7515" w:type="dxa"/>
          </w:tcPr>
          <w:p w14:paraId="274A944B" w14:textId="77777777" w:rsidR="00246275" w:rsidRDefault="00246275" w:rsidP="00246275">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in relation to a period, the difference between the total Charges (in nominal cash flow terms but excluding any Deductions) and total </w:t>
            </w:r>
            <w:r>
              <w:rPr>
                <w:rFonts w:ascii="Arial" w:eastAsia="Arial" w:hAnsi="Arial" w:cs="Arial"/>
                <w:color w:val="000000"/>
                <w:sz w:val="24"/>
                <w:szCs w:val="24"/>
              </w:rPr>
              <w:lastRenderedPageBreak/>
              <w:t>Costs (in nominal cash flow terms) in respect of a Call-Off Contract for the relevant period;</w:t>
            </w:r>
          </w:p>
        </w:tc>
      </w:tr>
      <w:tr w:rsidR="00246275" w14:paraId="4739AAE2" w14:textId="77777777">
        <w:tc>
          <w:tcPr>
            <w:tcW w:w="2445" w:type="dxa"/>
          </w:tcPr>
          <w:p w14:paraId="58D38645" w14:textId="77777777" w:rsidR="00246275" w:rsidRDefault="00246275" w:rsidP="00246275">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"Supplier Profit Margin"</w:t>
            </w:r>
          </w:p>
        </w:tc>
        <w:tc>
          <w:tcPr>
            <w:tcW w:w="7515" w:type="dxa"/>
          </w:tcPr>
          <w:p w14:paraId="45D2E8CC" w14:textId="77777777" w:rsidR="00246275" w:rsidRDefault="00246275" w:rsidP="00246275">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in relation to a period or a Milestone (as the context requires), the Supplier Profit for the relevant period or in relation to the relevant Milestone divided by the total Charges over the same period or in relation to the relevant Milestone and expressed as a percentage;</w:t>
            </w:r>
          </w:p>
        </w:tc>
      </w:tr>
      <w:tr w:rsidR="00246275" w14:paraId="751AAECF" w14:textId="77777777">
        <w:tc>
          <w:tcPr>
            <w:tcW w:w="2445" w:type="dxa"/>
          </w:tcPr>
          <w:p w14:paraId="0A5D729A" w14:textId="77777777" w:rsidR="00246275" w:rsidRDefault="00246275" w:rsidP="00246275">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"Supplier Staff"</w:t>
            </w:r>
          </w:p>
        </w:tc>
        <w:tc>
          <w:tcPr>
            <w:tcW w:w="7515" w:type="dxa"/>
          </w:tcPr>
          <w:p w14:paraId="3E0230E6" w14:textId="77777777" w:rsidR="00246275" w:rsidRDefault="00246275" w:rsidP="00246275">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all directors, officers, employees, agents, consultants and contractors of the Supplier and/or of any Subcontractor engaged in the performance of the Supplier’s obligations under a Contract;</w:t>
            </w:r>
          </w:p>
        </w:tc>
      </w:tr>
      <w:tr w:rsidR="00887890" w14:paraId="6E7D369D" w14:textId="77777777">
        <w:tc>
          <w:tcPr>
            <w:tcW w:w="2445" w:type="dxa"/>
          </w:tcPr>
          <w:p w14:paraId="5571939B" w14:textId="1AFC4DD3" w:rsidR="00887890" w:rsidRDefault="00887890" w:rsidP="00887890">
            <w:pPr>
              <w:pBdr>
                <w:top w:val="nil"/>
                <w:left w:val="nil"/>
                <w:bottom w:val="nil"/>
                <w:right w:val="nil"/>
                <w:between w:val="nil"/>
              </w:pBdr>
              <w:spacing w:after="120"/>
              <w:ind w:left="-108"/>
              <w:rPr>
                <w:rFonts w:ascii="Arial" w:eastAsia="Arial" w:hAnsi="Arial" w:cs="Arial"/>
                <w:b/>
                <w:color w:val="000000"/>
                <w:sz w:val="24"/>
                <w:szCs w:val="24"/>
              </w:rPr>
            </w:pPr>
            <w:r w:rsidRPr="00386A55">
              <w:rPr>
                <w:rFonts w:ascii="Arial" w:eastAsia="Arial" w:hAnsi="Arial" w:cs="Arial"/>
                <w:b/>
                <w:color w:val="000000"/>
                <w:sz w:val="24"/>
                <w:szCs w:val="24"/>
              </w:rPr>
              <w:t>"Supplier System"</w:t>
            </w:r>
          </w:p>
        </w:tc>
        <w:tc>
          <w:tcPr>
            <w:tcW w:w="7515" w:type="dxa"/>
          </w:tcPr>
          <w:p w14:paraId="013878C1" w14:textId="5C426161" w:rsidR="00887890" w:rsidRDefault="00887890" w:rsidP="00887890">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sidRPr="00386A55">
              <w:rPr>
                <w:rFonts w:ascii="Arial" w:eastAsia="Arial" w:hAnsi="Arial" w:cs="Arial"/>
                <w:color w:val="000000"/>
                <w:sz w:val="24"/>
                <w:szCs w:val="24"/>
              </w:rPr>
              <w:t>the information and communications technology system used by the Supplier in supplying the Deliverables, including the COTS Software, the Supplier Equipment, configuration and management utilities, calibration and testing tools and related cabling (but excluding the Buyer System);</w:t>
            </w:r>
          </w:p>
        </w:tc>
      </w:tr>
      <w:tr w:rsidR="00246275" w14:paraId="7720F806" w14:textId="77777777">
        <w:tc>
          <w:tcPr>
            <w:tcW w:w="2445" w:type="dxa"/>
          </w:tcPr>
          <w:p w14:paraId="1BB13170" w14:textId="77777777" w:rsidR="00246275" w:rsidRDefault="00246275" w:rsidP="00246275">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"Supporting Documentation"</w:t>
            </w:r>
          </w:p>
        </w:tc>
        <w:tc>
          <w:tcPr>
            <w:tcW w:w="7515" w:type="dxa"/>
          </w:tcPr>
          <w:p w14:paraId="77C26170" w14:textId="77777777" w:rsidR="00246275" w:rsidRDefault="00246275" w:rsidP="00246275">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sufficient information in writing to enable the Buyer to reasonably assess whether the Charges, Reimbursable Expenses and other sums due from the Buyer under the Call-Off Contract detailed in the information are properly payable;</w:t>
            </w:r>
          </w:p>
        </w:tc>
      </w:tr>
      <w:tr w:rsidR="00246275" w14:paraId="34F93B71" w14:textId="77777777">
        <w:tc>
          <w:tcPr>
            <w:tcW w:w="2445" w:type="dxa"/>
          </w:tcPr>
          <w:p w14:paraId="46D80593" w14:textId="77777777" w:rsidR="00246275" w:rsidRDefault="00246275" w:rsidP="00246275">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“Tax”</w:t>
            </w:r>
          </w:p>
        </w:tc>
        <w:tc>
          <w:tcPr>
            <w:tcW w:w="7515" w:type="dxa"/>
          </w:tcPr>
          <w:p w14:paraId="685ABAEE" w14:textId="77777777" w:rsidR="00246275" w:rsidRDefault="00246275" w:rsidP="00246275">
            <w:pPr>
              <w:numPr>
                <w:ilvl w:val="0"/>
                <w:numId w:val="10"/>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all forms of taxation whether direct or indirect;</w:t>
            </w:r>
          </w:p>
          <w:p w14:paraId="7BC23731" w14:textId="77777777" w:rsidR="00246275" w:rsidRDefault="00246275" w:rsidP="00246275">
            <w:pPr>
              <w:numPr>
                <w:ilvl w:val="0"/>
                <w:numId w:val="10"/>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national insurance contributions in the United Kingdom and similar contributions or obligations in any other jurisdiction;</w:t>
            </w:r>
          </w:p>
          <w:p w14:paraId="64CC40DE" w14:textId="77777777" w:rsidR="00246275" w:rsidRDefault="00246275" w:rsidP="00246275">
            <w:pPr>
              <w:numPr>
                <w:ilvl w:val="0"/>
                <w:numId w:val="10"/>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all statutory, governmental, state, federal, provincial, local government or municipal charges, duties, imports, contributions. levies or liabilities (other than in </w:t>
            </w:r>
            <w:proofErr w:type="gramStart"/>
            <w:r>
              <w:rPr>
                <w:rFonts w:ascii="Arial" w:eastAsia="Arial" w:hAnsi="Arial" w:cs="Arial"/>
                <w:color w:val="000000"/>
                <w:sz w:val="24"/>
                <w:szCs w:val="24"/>
              </w:rPr>
              <w:t>return  for</w:t>
            </w:r>
            <w:proofErr w:type="gramEnd"/>
            <w:r>
              <w:rPr>
                <w:rFonts w:ascii="Arial" w:eastAsia="Arial" w:hAnsi="Arial" w:cs="Arial"/>
                <w:color w:val="000000"/>
                <w:sz w:val="24"/>
                <w:szCs w:val="24"/>
              </w:rPr>
              <w:t xml:space="preserve"> goods or services supplied or performed or to be performed) and withholdings; and</w:t>
            </w:r>
          </w:p>
          <w:p w14:paraId="0AE17E69" w14:textId="77777777" w:rsidR="00246275" w:rsidRDefault="00246275" w:rsidP="00246275">
            <w:pPr>
              <w:numPr>
                <w:ilvl w:val="0"/>
                <w:numId w:val="10"/>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any penalty, fine, surcharge, interest, charges or costs relating to any of the above,</w:t>
            </w:r>
          </w:p>
          <w:p w14:paraId="07BB3BFE" w14:textId="77777777" w:rsidR="00246275" w:rsidRDefault="00246275" w:rsidP="00246275">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in each case wherever chargeable and whether of the United Kingdom and any other jurisdiction;</w:t>
            </w:r>
          </w:p>
        </w:tc>
      </w:tr>
      <w:tr w:rsidR="00246275" w14:paraId="618590DF" w14:textId="77777777">
        <w:tc>
          <w:tcPr>
            <w:tcW w:w="2445" w:type="dxa"/>
          </w:tcPr>
          <w:p w14:paraId="586A326B" w14:textId="77777777" w:rsidR="00246275" w:rsidRDefault="00246275" w:rsidP="00246275">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"Termination Notice"</w:t>
            </w:r>
          </w:p>
        </w:tc>
        <w:tc>
          <w:tcPr>
            <w:tcW w:w="7515" w:type="dxa"/>
          </w:tcPr>
          <w:p w14:paraId="7D1D20F0" w14:textId="77777777" w:rsidR="00246275" w:rsidRDefault="00246275" w:rsidP="00246275">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a written notice of termination given by one Party to the other, notifying the Party receiving the notice of the intention of the Party giving the notice to terminate a Contract on a specified date and setting out the grounds for termination; </w:t>
            </w:r>
          </w:p>
        </w:tc>
      </w:tr>
      <w:tr w:rsidR="00246275" w14:paraId="748C0EE9" w14:textId="77777777">
        <w:tc>
          <w:tcPr>
            <w:tcW w:w="2445" w:type="dxa"/>
          </w:tcPr>
          <w:p w14:paraId="5C139440" w14:textId="77777777" w:rsidR="00246275" w:rsidRDefault="00246275" w:rsidP="00246275">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"Test Issue"</w:t>
            </w:r>
          </w:p>
        </w:tc>
        <w:tc>
          <w:tcPr>
            <w:tcW w:w="7515" w:type="dxa"/>
          </w:tcPr>
          <w:p w14:paraId="762B41E6" w14:textId="77777777" w:rsidR="00246275" w:rsidRDefault="00246275" w:rsidP="00246275">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variance or non-conformity of the Deliverables from their requirements as set out in a Call-Off Contract;</w:t>
            </w:r>
          </w:p>
        </w:tc>
      </w:tr>
      <w:tr w:rsidR="00246275" w14:paraId="7AEA6979" w14:textId="77777777">
        <w:tc>
          <w:tcPr>
            <w:tcW w:w="2445" w:type="dxa"/>
          </w:tcPr>
          <w:p w14:paraId="3C24F250" w14:textId="77777777" w:rsidR="00246275" w:rsidRDefault="00246275" w:rsidP="00246275">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"Test Plan"</w:t>
            </w:r>
          </w:p>
        </w:tc>
        <w:tc>
          <w:tcPr>
            <w:tcW w:w="7515" w:type="dxa"/>
          </w:tcPr>
          <w:p w14:paraId="7070AFAA" w14:textId="77777777" w:rsidR="00246275" w:rsidRDefault="00246275" w:rsidP="00246275">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 plan:</w:t>
            </w:r>
          </w:p>
          <w:p w14:paraId="2E100D56" w14:textId="77777777" w:rsidR="00246275" w:rsidRDefault="00246275" w:rsidP="00246275">
            <w:pPr>
              <w:numPr>
                <w:ilvl w:val="1"/>
                <w:numId w:val="14"/>
              </w:numPr>
              <w:pBdr>
                <w:top w:val="nil"/>
                <w:left w:val="nil"/>
                <w:bottom w:val="nil"/>
                <w:right w:val="nil"/>
                <w:between w:val="nil"/>
              </w:pBdr>
              <w:tabs>
                <w:tab w:val="left" w:pos="-576"/>
                <w:tab w:val="left" w:pos="141"/>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for the Testing of the Deliverables; and </w:t>
            </w:r>
          </w:p>
          <w:p w14:paraId="38DC6A65" w14:textId="77777777" w:rsidR="00246275" w:rsidRDefault="00246275" w:rsidP="00246275">
            <w:pPr>
              <w:numPr>
                <w:ilvl w:val="1"/>
                <w:numId w:val="14"/>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setting out other agreed criteria related to the achievement of Milestones;</w:t>
            </w:r>
          </w:p>
        </w:tc>
      </w:tr>
      <w:tr w:rsidR="00246275" w14:paraId="7AF2CB25" w14:textId="77777777">
        <w:tc>
          <w:tcPr>
            <w:tcW w:w="2445" w:type="dxa"/>
          </w:tcPr>
          <w:p w14:paraId="0DDD3D6C" w14:textId="454A3F3D" w:rsidR="00246275" w:rsidRDefault="00246275" w:rsidP="00246275">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"Tests"</w:t>
            </w:r>
          </w:p>
        </w:tc>
        <w:tc>
          <w:tcPr>
            <w:tcW w:w="7515" w:type="dxa"/>
          </w:tcPr>
          <w:p w14:paraId="7B8A1273" w14:textId="77777777" w:rsidR="00246275" w:rsidRDefault="00246275" w:rsidP="00246275">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tests required to be carried out pursuant to a Call-Off Contract as set out in the Test Plan or elsewhere in a Call-Off Contract and "</w:t>
            </w:r>
            <w:r>
              <w:rPr>
                <w:rFonts w:ascii="Arial" w:eastAsia="Arial" w:hAnsi="Arial" w:cs="Arial"/>
                <w:b/>
                <w:color w:val="000000"/>
                <w:sz w:val="24"/>
                <w:szCs w:val="24"/>
              </w:rPr>
              <w:t>Tested</w:t>
            </w:r>
            <w:r>
              <w:rPr>
                <w:rFonts w:ascii="Arial" w:eastAsia="Arial" w:hAnsi="Arial" w:cs="Arial"/>
                <w:color w:val="000000"/>
                <w:sz w:val="24"/>
                <w:szCs w:val="24"/>
              </w:rPr>
              <w:t>" and “</w:t>
            </w:r>
            <w:r>
              <w:rPr>
                <w:rFonts w:ascii="Arial" w:eastAsia="Arial" w:hAnsi="Arial" w:cs="Arial"/>
                <w:b/>
                <w:color w:val="000000"/>
                <w:sz w:val="24"/>
                <w:szCs w:val="24"/>
              </w:rPr>
              <w:t>Testing</w:t>
            </w:r>
            <w:r>
              <w:rPr>
                <w:rFonts w:ascii="Arial" w:eastAsia="Arial" w:hAnsi="Arial" w:cs="Arial"/>
                <w:color w:val="000000"/>
                <w:sz w:val="24"/>
                <w:szCs w:val="24"/>
              </w:rPr>
              <w:t>” shall be construed accordingly;</w:t>
            </w:r>
          </w:p>
        </w:tc>
      </w:tr>
      <w:tr w:rsidR="00246275" w14:paraId="3D0CAF5D" w14:textId="77777777">
        <w:tc>
          <w:tcPr>
            <w:tcW w:w="2445" w:type="dxa"/>
          </w:tcPr>
          <w:p w14:paraId="4F6856EE" w14:textId="77777777" w:rsidR="00246275" w:rsidRDefault="00246275" w:rsidP="00246275">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"Third Party IPR"</w:t>
            </w:r>
          </w:p>
        </w:tc>
        <w:tc>
          <w:tcPr>
            <w:tcW w:w="7515" w:type="dxa"/>
          </w:tcPr>
          <w:p w14:paraId="70DBD87A" w14:textId="77777777" w:rsidR="00246275" w:rsidRDefault="00246275" w:rsidP="00246275">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Intellectual Property Rights owned by a third party which is or will be used by the Supplier for the purpose of providing the Deliverables;</w:t>
            </w:r>
          </w:p>
        </w:tc>
      </w:tr>
      <w:tr w:rsidR="00866A6D" w14:paraId="3AEE2BEE" w14:textId="77777777">
        <w:tc>
          <w:tcPr>
            <w:tcW w:w="2445" w:type="dxa"/>
          </w:tcPr>
          <w:p w14:paraId="45F06749" w14:textId="51757A96" w:rsidR="00866A6D" w:rsidRDefault="00866A6D" w:rsidP="00866A6D">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"Third Party IPR Licence"</w:t>
            </w:r>
          </w:p>
        </w:tc>
        <w:tc>
          <w:tcPr>
            <w:tcW w:w="7515" w:type="dxa"/>
          </w:tcPr>
          <w:p w14:paraId="32B73EBA" w14:textId="1D0D39B2" w:rsidR="00866A6D" w:rsidRDefault="00866A6D" w:rsidP="00866A6D">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means a licence to the Third Party IPR as set out in Paragraph 4.1.6 of Call-Off Schedule 26 (Intellectual Property Rights);</w:t>
            </w:r>
          </w:p>
        </w:tc>
      </w:tr>
      <w:tr w:rsidR="00246275" w14:paraId="5D90C390" w14:textId="77777777">
        <w:tc>
          <w:tcPr>
            <w:tcW w:w="2445" w:type="dxa"/>
          </w:tcPr>
          <w:p w14:paraId="2AB0641E" w14:textId="77777777" w:rsidR="00246275" w:rsidRDefault="00246275" w:rsidP="00246275">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"Transferring Supplier Employees"</w:t>
            </w:r>
          </w:p>
        </w:tc>
        <w:tc>
          <w:tcPr>
            <w:tcW w:w="7515" w:type="dxa"/>
          </w:tcPr>
          <w:p w14:paraId="4BFDAADD" w14:textId="77777777" w:rsidR="00246275" w:rsidRDefault="00246275" w:rsidP="00246275">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those employees of the Supplier and/or the Supplier’s Subcontractors to whom the Employment Regulations will apply on the Service Transfer Date; </w:t>
            </w:r>
          </w:p>
        </w:tc>
      </w:tr>
      <w:tr w:rsidR="00246275" w14:paraId="2D05C8D5" w14:textId="77777777">
        <w:tc>
          <w:tcPr>
            <w:tcW w:w="2445" w:type="dxa"/>
          </w:tcPr>
          <w:p w14:paraId="15AB5F01" w14:textId="77777777" w:rsidR="00246275" w:rsidRDefault="00246275" w:rsidP="00246275">
            <w:pPr>
              <w:keepNext/>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"Transparency Information"</w:t>
            </w:r>
          </w:p>
        </w:tc>
        <w:tc>
          <w:tcPr>
            <w:tcW w:w="7515" w:type="dxa"/>
          </w:tcPr>
          <w:p w14:paraId="6A686E38" w14:textId="77777777" w:rsidR="00246275" w:rsidRDefault="00246275" w:rsidP="00246275">
            <w:pPr>
              <w:keepNext/>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the Transparency Reports and the content of a Contract, including any changes to this Contract agreed from time to time, except for – </w:t>
            </w:r>
          </w:p>
          <w:p w14:paraId="435957C6" w14:textId="77777777" w:rsidR="00246275" w:rsidRDefault="00246275" w:rsidP="00246275">
            <w:pPr>
              <w:keepNext/>
              <w:pBdr>
                <w:top w:val="nil"/>
                <w:left w:val="nil"/>
                <w:bottom w:val="nil"/>
                <w:right w:val="nil"/>
                <w:between w:val="nil"/>
              </w:pBdr>
              <w:tabs>
                <w:tab w:val="left" w:pos="-179"/>
                <w:tab w:val="left" w:pos="-9"/>
              </w:tabs>
              <w:spacing w:after="120"/>
              <w:ind w:left="720"/>
              <w:jc w:val="both"/>
              <w:rPr>
                <w:rFonts w:ascii="Arial" w:eastAsia="Arial" w:hAnsi="Arial" w:cs="Arial"/>
                <w:color w:val="000000"/>
                <w:sz w:val="24"/>
                <w:szCs w:val="24"/>
              </w:rPr>
            </w:pPr>
            <w:r>
              <w:rPr>
                <w:rFonts w:ascii="Arial" w:eastAsia="Arial" w:hAnsi="Arial" w:cs="Arial"/>
                <w:color w:val="000000"/>
                <w:sz w:val="24"/>
                <w:szCs w:val="24"/>
              </w:rPr>
              <w:t>(</w:t>
            </w:r>
            <w:proofErr w:type="spellStart"/>
            <w:r>
              <w:rPr>
                <w:rFonts w:ascii="Arial" w:eastAsia="Arial" w:hAnsi="Arial" w:cs="Arial"/>
                <w:color w:val="000000"/>
                <w:sz w:val="24"/>
                <w:szCs w:val="24"/>
              </w:rPr>
              <w:t>i</w:t>
            </w:r>
            <w:proofErr w:type="spellEnd"/>
            <w:r>
              <w:rPr>
                <w:rFonts w:ascii="Arial" w:eastAsia="Arial" w:hAnsi="Arial" w:cs="Arial"/>
                <w:color w:val="000000"/>
                <w:sz w:val="24"/>
                <w:szCs w:val="24"/>
              </w:rPr>
              <w:t>)</w:t>
            </w:r>
            <w:r>
              <w:rPr>
                <w:rFonts w:ascii="Arial" w:eastAsia="Arial" w:hAnsi="Arial" w:cs="Arial"/>
                <w:color w:val="000000"/>
                <w:sz w:val="24"/>
                <w:szCs w:val="24"/>
              </w:rPr>
              <w:tab/>
              <w:t>any information which is exempt from disclosure in accordance with the provisions of the FOIA, which shall be determined by the Relevant Authority; and</w:t>
            </w:r>
          </w:p>
          <w:p w14:paraId="55892351" w14:textId="77777777" w:rsidR="00246275" w:rsidRDefault="00246275" w:rsidP="00246275">
            <w:pPr>
              <w:keepNext/>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 (ii)</w:t>
            </w:r>
            <w:r>
              <w:rPr>
                <w:rFonts w:ascii="Arial" w:eastAsia="Arial" w:hAnsi="Arial" w:cs="Arial"/>
                <w:color w:val="000000"/>
                <w:sz w:val="24"/>
                <w:szCs w:val="24"/>
              </w:rPr>
              <w:tab/>
              <w:t>Commercially Sensitive Information;</w:t>
            </w:r>
          </w:p>
          <w:p w14:paraId="091CB2D8" w14:textId="77777777" w:rsidR="00246275" w:rsidRDefault="00246275" w:rsidP="00246275">
            <w:pPr>
              <w:keepNext/>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p>
        </w:tc>
      </w:tr>
      <w:tr w:rsidR="00246275" w14:paraId="29DADA34" w14:textId="77777777">
        <w:tc>
          <w:tcPr>
            <w:tcW w:w="2445" w:type="dxa"/>
          </w:tcPr>
          <w:p w14:paraId="51F66E57" w14:textId="77777777" w:rsidR="00246275" w:rsidRDefault="00246275" w:rsidP="00246275">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"Transparency Reports"</w:t>
            </w:r>
          </w:p>
        </w:tc>
        <w:tc>
          <w:tcPr>
            <w:tcW w:w="7515" w:type="dxa"/>
          </w:tcPr>
          <w:p w14:paraId="75F3ED13" w14:textId="77777777" w:rsidR="00246275" w:rsidRDefault="00246275" w:rsidP="00246275">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information relating to the Deliverables and performance of the Contracts which the Supplier is required to provide to the Buyer in accordance with the reporting requirements in Call-Off Schedule 1 (Transparency Reports);</w:t>
            </w:r>
          </w:p>
        </w:tc>
      </w:tr>
      <w:tr w:rsidR="00246275" w14:paraId="68C21D71" w14:textId="77777777">
        <w:tc>
          <w:tcPr>
            <w:tcW w:w="2445" w:type="dxa"/>
          </w:tcPr>
          <w:p w14:paraId="4BF1D0BC" w14:textId="77777777" w:rsidR="00246275" w:rsidRDefault="00246275" w:rsidP="00246275">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"Variation"</w:t>
            </w:r>
          </w:p>
        </w:tc>
        <w:tc>
          <w:tcPr>
            <w:tcW w:w="7515" w:type="dxa"/>
          </w:tcPr>
          <w:p w14:paraId="16E19FF4" w14:textId="77777777" w:rsidR="00246275" w:rsidRDefault="00246275" w:rsidP="00246275">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change to a Contract;</w:t>
            </w:r>
          </w:p>
        </w:tc>
      </w:tr>
      <w:tr w:rsidR="00246275" w14:paraId="14162BB0" w14:textId="77777777">
        <w:tc>
          <w:tcPr>
            <w:tcW w:w="2445" w:type="dxa"/>
          </w:tcPr>
          <w:p w14:paraId="79F07507" w14:textId="77777777" w:rsidR="00246275" w:rsidRDefault="00246275" w:rsidP="00246275">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"Variation Form"</w:t>
            </w:r>
          </w:p>
        </w:tc>
        <w:tc>
          <w:tcPr>
            <w:tcW w:w="7515" w:type="dxa"/>
          </w:tcPr>
          <w:p w14:paraId="18C68CD9" w14:textId="77777777" w:rsidR="00246275" w:rsidRDefault="00246275" w:rsidP="00246275">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form set out in Joint Schedule 2 (Variation Form);</w:t>
            </w:r>
          </w:p>
        </w:tc>
      </w:tr>
      <w:tr w:rsidR="00246275" w14:paraId="70981867" w14:textId="77777777">
        <w:tc>
          <w:tcPr>
            <w:tcW w:w="2445" w:type="dxa"/>
          </w:tcPr>
          <w:p w14:paraId="3196C406" w14:textId="77777777" w:rsidR="00246275" w:rsidRDefault="00246275" w:rsidP="00246275">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"Variation Procedure"</w:t>
            </w:r>
          </w:p>
        </w:tc>
        <w:tc>
          <w:tcPr>
            <w:tcW w:w="7515" w:type="dxa"/>
          </w:tcPr>
          <w:p w14:paraId="7FEADFC9" w14:textId="77777777" w:rsidR="00246275" w:rsidRDefault="00246275" w:rsidP="00246275">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procedure set out in Clause 24 (Changing the contract);</w:t>
            </w:r>
          </w:p>
        </w:tc>
      </w:tr>
      <w:tr w:rsidR="00246275" w14:paraId="14D34406" w14:textId="77777777">
        <w:tc>
          <w:tcPr>
            <w:tcW w:w="2445" w:type="dxa"/>
          </w:tcPr>
          <w:p w14:paraId="15ED2753" w14:textId="77777777" w:rsidR="00246275" w:rsidRDefault="00246275" w:rsidP="00246275">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"VAT"</w:t>
            </w:r>
          </w:p>
        </w:tc>
        <w:tc>
          <w:tcPr>
            <w:tcW w:w="7515" w:type="dxa"/>
          </w:tcPr>
          <w:p w14:paraId="460A5107" w14:textId="77777777" w:rsidR="00246275" w:rsidRDefault="00246275" w:rsidP="00246275">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value added tax in accordance with the provisions of the Value Added Tax Act 1994;</w:t>
            </w:r>
          </w:p>
        </w:tc>
      </w:tr>
      <w:tr w:rsidR="00246275" w14:paraId="051C32F3" w14:textId="77777777">
        <w:tc>
          <w:tcPr>
            <w:tcW w:w="2445" w:type="dxa"/>
          </w:tcPr>
          <w:p w14:paraId="07E562CA" w14:textId="77777777" w:rsidR="00246275" w:rsidRDefault="00246275" w:rsidP="00246275">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"VCSE"</w:t>
            </w:r>
          </w:p>
        </w:tc>
        <w:tc>
          <w:tcPr>
            <w:tcW w:w="7515" w:type="dxa"/>
          </w:tcPr>
          <w:p w14:paraId="060B933D" w14:textId="77777777" w:rsidR="00246275" w:rsidRDefault="00246275" w:rsidP="00246275">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 non-governmental organisation that is value-driven and which principally reinvests its surpluses to further social, environmental or cultural objectives;</w:t>
            </w:r>
          </w:p>
        </w:tc>
      </w:tr>
      <w:tr w:rsidR="00246275" w14:paraId="4281ED27" w14:textId="77777777">
        <w:tc>
          <w:tcPr>
            <w:tcW w:w="2445" w:type="dxa"/>
          </w:tcPr>
          <w:p w14:paraId="25DB5910" w14:textId="77777777" w:rsidR="00246275" w:rsidRDefault="00246275" w:rsidP="00246275">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"Worker"</w:t>
            </w:r>
          </w:p>
        </w:tc>
        <w:tc>
          <w:tcPr>
            <w:tcW w:w="7515" w:type="dxa"/>
          </w:tcPr>
          <w:p w14:paraId="6AF48AE9" w14:textId="77777777" w:rsidR="00246275" w:rsidRDefault="00246275" w:rsidP="00246275">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one of the Supplier Staff which the Buyer, in its reasonable opinion, considers is an individual to which Procurement Policy Note 08/15 (Tax Arrangements of Public Appointees) (https://www.gov.uk/government/publications/procurement-policy-note-0815-tax-arrangements-of-appointees) applies in respect of the Deliverables;</w:t>
            </w:r>
          </w:p>
        </w:tc>
      </w:tr>
      <w:tr w:rsidR="00246275" w14:paraId="0C837E12" w14:textId="77777777">
        <w:tc>
          <w:tcPr>
            <w:tcW w:w="2445" w:type="dxa"/>
          </w:tcPr>
          <w:p w14:paraId="0D73C936" w14:textId="77777777" w:rsidR="00246275" w:rsidRDefault="00246275" w:rsidP="00246275">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"Working Day"</w:t>
            </w:r>
          </w:p>
        </w:tc>
        <w:tc>
          <w:tcPr>
            <w:tcW w:w="7515" w:type="dxa"/>
          </w:tcPr>
          <w:p w14:paraId="2DFAE081" w14:textId="77777777" w:rsidR="00246275" w:rsidRDefault="00246275" w:rsidP="00246275">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day other than a Saturday or Sunday or public holiday in England and Wales unless specified otherwise by the Parties in the Order Form;</w:t>
            </w:r>
          </w:p>
        </w:tc>
      </w:tr>
      <w:tr w:rsidR="00246275" w14:paraId="0E6A181B" w14:textId="77777777">
        <w:tc>
          <w:tcPr>
            <w:tcW w:w="2445" w:type="dxa"/>
          </w:tcPr>
          <w:p w14:paraId="2B883DC6" w14:textId="77777777" w:rsidR="00246275" w:rsidRDefault="00246275" w:rsidP="00246275">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"Work Day"</w:t>
            </w:r>
          </w:p>
        </w:tc>
        <w:tc>
          <w:tcPr>
            <w:tcW w:w="7515" w:type="dxa"/>
          </w:tcPr>
          <w:p w14:paraId="24B6A87A" w14:textId="77777777" w:rsidR="00246275" w:rsidRDefault="00246275" w:rsidP="00246275">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7.5 Work Hours, whether or not such hours are worked consecutively and whether or not they are worked on the same day; and</w:t>
            </w:r>
          </w:p>
        </w:tc>
      </w:tr>
      <w:tr w:rsidR="00246275" w14:paraId="20239589" w14:textId="77777777">
        <w:tc>
          <w:tcPr>
            <w:tcW w:w="2445" w:type="dxa"/>
          </w:tcPr>
          <w:p w14:paraId="172B77BD" w14:textId="77777777" w:rsidR="00246275" w:rsidRDefault="00246275" w:rsidP="00246275">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"Work Hours"</w:t>
            </w:r>
          </w:p>
        </w:tc>
        <w:tc>
          <w:tcPr>
            <w:tcW w:w="7515" w:type="dxa"/>
          </w:tcPr>
          <w:p w14:paraId="799D3C6A" w14:textId="77777777" w:rsidR="00246275" w:rsidRDefault="00246275" w:rsidP="00246275">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hours spent by the Supplier Staff properly working on the provision of the Deliverables including time spent travelling (other than to and from the Supplier's offices, or to and from the Sites) but excluding lunch breaks.</w:t>
            </w:r>
          </w:p>
        </w:tc>
      </w:tr>
    </w:tbl>
    <w:p w14:paraId="102C7952" w14:textId="77777777" w:rsidR="005166B9" w:rsidRDefault="005166B9">
      <w:pPr>
        <w:spacing w:after="0" w:line="240" w:lineRule="auto"/>
        <w:rPr>
          <w:rFonts w:ascii="Arial" w:eastAsia="Arial" w:hAnsi="Arial" w:cs="Arial"/>
          <w:sz w:val="24"/>
          <w:szCs w:val="24"/>
        </w:rPr>
      </w:pPr>
      <w:bookmarkStart w:id="5" w:name="_heading=h.gjdgxs" w:colFirst="0" w:colLast="0"/>
      <w:bookmarkEnd w:id="5"/>
    </w:p>
    <w:sectPr w:rsidR="005166B9">
      <w:headerReference w:type="default" r:id="rId12"/>
      <w:footerReference w:type="default" r:id="rId13"/>
      <w:headerReference w:type="first" r:id="rId14"/>
      <w:footerReference w:type="first" r:id="rId15"/>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C23203" w14:textId="77777777" w:rsidR="00181C0C" w:rsidRDefault="00181C0C">
      <w:pPr>
        <w:spacing w:after="0" w:line="240" w:lineRule="auto"/>
      </w:pPr>
      <w:r>
        <w:separator/>
      </w:r>
    </w:p>
  </w:endnote>
  <w:endnote w:type="continuationSeparator" w:id="0">
    <w:p w14:paraId="454245A6" w14:textId="77777777" w:rsidR="00181C0C" w:rsidRDefault="00181C0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roman"/>
    <w:notTrueType/>
    <w:pitch w:val="default"/>
  </w:font>
  <w:font w:name="STZhongsong">
    <w:altName w:val="MS Mincho"/>
    <w:charset w:val="86"/>
    <w:family w:val="auto"/>
    <w:pitch w:val="variable"/>
    <w:sig w:usb0="00000287" w:usb1="080F0000" w:usb2="00000010" w:usb3="00000000" w:csb0="0004009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842E74" w14:textId="11AC6D3D" w:rsidR="00033E5E" w:rsidRDefault="00033E5E">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w:t>
    </w:r>
    <w:r w:rsidR="00C3307E">
      <w:rPr>
        <w:rFonts w:ascii="Arial" w:eastAsia="Arial" w:hAnsi="Arial" w:cs="Arial"/>
        <w:sz w:val="20"/>
        <w:szCs w:val="20"/>
      </w:rPr>
      <w:t>6285</w:t>
    </w:r>
    <w:r>
      <w:rPr>
        <w:rFonts w:ascii="Arial" w:eastAsia="Arial" w:hAnsi="Arial" w:cs="Arial"/>
        <w:sz w:val="20"/>
        <w:szCs w:val="20"/>
      </w:rPr>
      <w:tab/>
      <w:t xml:space="preserve">                                           </w:t>
    </w:r>
  </w:p>
  <w:p w14:paraId="62F6F4C0" w14:textId="57A44B8E" w:rsidR="00033E5E" w:rsidRDefault="00033E5E">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2034B3">
      <w:rPr>
        <w:rFonts w:ascii="Arial" w:eastAsia="Arial" w:hAnsi="Arial" w:cs="Arial"/>
        <w:noProof/>
        <w:color w:val="000000"/>
        <w:sz w:val="20"/>
        <w:szCs w:val="20"/>
      </w:rPr>
      <w:t>1</w:t>
    </w:r>
    <w:r>
      <w:rPr>
        <w:rFonts w:ascii="Arial" w:eastAsia="Arial" w:hAnsi="Arial" w:cs="Arial"/>
        <w:color w:val="000000"/>
        <w:sz w:val="20"/>
        <w:szCs w:val="20"/>
      </w:rPr>
      <w:fldChar w:fldCharType="end"/>
    </w:r>
  </w:p>
  <w:p w14:paraId="37185712" w14:textId="3139F9FF" w:rsidR="00033E5E" w:rsidRDefault="002034B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rPr>
        <w:rFonts w:ascii="Arial" w:eastAsia="Arial" w:hAnsi="Arial" w:cs="Arial"/>
        <w:color w:val="BFBFBF"/>
        <w:sz w:val="20"/>
        <w:szCs w:val="20"/>
      </w:rPr>
    </w:pPr>
    <w:r>
      <w:rPr>
        <w:rFonts w:ascii="Arial" w:eastAsia="Arial" w:hAnsi="Arial" w:cs="Arial"/>
        <w:sz w:val="20"/>
        <w:szCs w:val="20"/>
      </w:rPr>
      <w:t>Model Version: v3.12</w:t>
    </w:r>
    <w:r w:rsidR="00033E5E">
      <w:rPr>
        <w:rFonts w:ascii="Arial" w:eastAsia="Arial" w:hAnsi="Arial" w:cs="Arial"/>
        <w:sz w:val="20"/>
        <w:szCs w:val="20"/>
      </w:rPr>
      <w:tab/>
    </w:r>
    <w:r w:rsidR="00033E5E">
      <w:rPr>
        <w:rFonts w:ascii="Arial" w:eastAsia="Arial" w:hAnsi="Arial" w:cs="Arial"/>
        <w:color w:val="BFBFBF"/>
        <w:sz w:val="20"/>
        <w:szCs w:val="20"/>
      </w:rPr>
      <w:tab/>
    </w:r>
    <w:r w:rsidR="00033E5E">
      <w:rPr>
        <w:rFonts w:ascii="Arial" w:eastAsia="Arial" w:hAnsi="Arial" w:cs="Arial"/>
        <w:color w:val="BFBFBF"/>
        <w:sz w:val="20"/>
        <w:szCs w:val="20"/>
      </w:rPr>
      <w:tab/>
    </w:r>
    <w:r w:rsidR="00033E5E">
      <w:rPr>
        <w:rFonts w:ascii="Arial" w:eastAsia="Arial" w:hAnsi="Arial" w:cs="Arial"/>
        <w:color w:val="BFBFBF"/>
        <w:sz w:val="20"/>
        <w:szCs w:val="20"/>
      </w:rPr>
      <w:tab/>
    </w:r>
    <w:r w:rsidR="00033E5E">
      <w:rPr>
        <w:rFonts w:ascii="Arial" w:eastAsia="Arial" w:hAnsi="Arial" w:cs="Arial"/>
        <w:color w:val="BFBFBF"/>
        <w:sz w:val="20"/>
        <w:szCs w:val="20"/>
      </w:rPr>
      <w:tab/>
    </w:r>
    <w:r w:rsidR="00033E5E">
      <w:rPr>
        <w:rFonts w:ascii="Arial" w:eastAsia="Arial" w:hAnsi="Arial" w:cs="Arial"/>
        <w:color w:val="BFBFBF"/>
        <w:sz w:val="20"/>
        <w:szCs w:val="20"/>
      </w:rPr>
      <w:tab/>
    </w:r>
    <w:r w:rsidR="00033E5E">
      <w:rPr>
        <w:rFonts w:ascii="Arial" w:eastAsia="Arial" w:hAnsi="Arial" w:cs="Arial"/>
        <w:color w:val="BFBFBF"/>
        <w:sz w:val="20"/>
        <w:szCs w:val="20"/>
      </w:rPr>
      <w:tab/>
    </w:r>
    <w:r w:rsidR="00033E5E">
      <w:rPr>
        <w:rFonts w:ascii="Arial" w:eastAsia="Arial" w:hAnsi="Arial" w:cs="Arial"/>
        <w:color w:val="BFBFBF"/>
        <w:sz w:val="20"/>
        <w:szCs w:val="20"/>
      </w:rPr>
      <w:tab/>
    </w:r>
    <w:r w:rsidR="00033E5E">
      <w:rPr>
        <w:rFonts w:ascii="Arial" w:eastAsia="Arial" w:hAnsi="Arial" w:cs="Arial"/>
        <w:color w:val="BFBFBF"/>
        <w:sz w:val="20"/>
        <w:szCs w:val="20"/>
      </w:rPr>
      <w:tab/>
    </w:r>
    <w:r w:rsidR="00033E5E">
      <w:rPr>
        <w:rFonts w:ascii="Arial" w:eastAsia="Arial" w:hAnsi="Arial" w:cs="Arial"/>
        <w:color w:val="BFBFBF"/>
        <w:sz w:val="20"/>
        <w:szCs w:val="20"/>
      </w:rPr>
      <w:tab/>
    </w:r>
    <w:r w:rsidR="00033E5E">
      <w:rPr>
        <w:rFonts w:ascii="Arial" w:eastAsia="Arial" w:hAnsi="Arial" w:cs="Arial"/>
        <w:color w:val="BFBFBF"/>
        <w:sz w:val="20"/>
        <w:szCs w:val="20"/>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F35F78" w14:textId="77777777" w:rsidR="00033E5E" w:rsidRDefault="00033E5E">
    <w:pPr>
      <w:tabs>
        <w:tab w:val="center" w:pos="4513"/>
        <w:tab w:val="right" w:pos="9026"/>
      </w:tabs>
      <w:spacing w:after="0"/>
      <w:rPr>
        <w:rFonts w:ascii="Arial" w:eastAsia="Arial" w:hAnsi="Arial" w:cs="Arial"/>
        <w:color w:val="BFBFBF"/>
        <w:sz w:val="20"/>
        <w:szCs w:val="20"/>
      </w:rPr>
    </w:pPr>
    <w:r>
      <w:rPr>
        <w:rFonts w:ascii="Arial" w:eastAsia="Arial" w:hAnsi="Arial" w:cs="Arial"/>
        <w:color w:val="BFBFBF"/>
        <w:sz w:val="20"/>
        <w:szCs w:val="20"/>
      </w:rPr>
      <w:t>Framework Ref: RM</w:t>
    </w:r>
    <w:r>
      <w:rPr>
        <w:rFonts w:ascii="Arial" w:eastAsia="Arial" w:hAnsi="Arial" w:cs="Arial"/>
        <w:color w:val="BFBFBF"/>
        <w:sz w:val="20"/>
        <w:szCs w:val="20"/>
      </w:rPr>
      <w:tab/>
      <w:t xml:space="preserve">                                           </w:t>
    </w:r>
  </w:p>
  <w:p w14:paraId="36A285A7" w14:textId="77777777" w:rsidR="00033E5E" w:rsidRDefault="00033E5E">
    <w:pPr>
      <w:pBdr>
        <w:top w:val="nil"/>
        <w:left w:val="nil"/>
        <w:bottom w:val="nil"/>
        <w:right w:val="nil"/>
        <w:between w:val="nil"/>
      </w:pBdr>
      <w:tabs>
        <w:tab w:val="center" w:pos="4513"/>
        <w:tab w:val="right" w:pos="9026"/>
      </w:tabs>
      <w:spacing w:after="0" w:line="240" w:lineRule="auto"/>
      <w:rPr>
        <w:rFonts w:ascii="Arial" w:eastAsia="Arial" w:hAnsi="Arial" w:cs="Arial"/>
        <w:color w:val="BFBFBF"/>
        <w:sz w:val="20"/>
        <w:szCs w:val="20"/>
      </w:rPr>
    </w:pPr>
    <w:r>
      <w:rPr>
        <w:rFonts w:ascii="Arial" w:eastAsia="Arial" w:hAnsi="Arial" w:cs="Arial"/>
        <w:color w:val="BFBFBF"/>
        <w:sz w:val="20"/>
        <w:szCs w:val="20"/>
      </w:rPr>
      <w:t>Project Version: v1.0</w:t>
    </w:r>
    <w:r>
      <w:rPr>
        <w:rFonts w:ascii="Arial" w:eastAsia="Arial" w:hAnsi="Arial" w:cs="Arial"/>
        <w:color w:val="BFBFBF"/>
        <w:sz w:val="20"/>
        <w:szCs w:val="20"/>
      </w:rPr>
      <w:tab/>
    </w:r>
    <w:r>
      <w:rPr>
        <w:rFonts w:ascii="Arial" w:eastAsia="Arial" w:hAnsi="Arial" w:cs="Arial"/>
        <w:color w:val="BFBFBF"/>
        <w:sz w:val="20"/>
        <w:szCs w:val="20"/>
      </w:rPr>
      <w:tab/>
      <w:t xml:space="preserve"> </w:t>
    </w:r>
    <w:r>
      <w:rPr>
        <w:rFonts w:ascii="Arial" w:eastAsia="Arial" w:hAnsi="Arial" w:cs="Arial"/>
        <w:color w:val="BFBFBF"/>
        <w:sz w:val="20"/>
        <w:szCs w:val="20"/>
      </w:rPr>
      <w:fldChar w:fldCharType="begin"/>
    </w:r>
    <w:r>
      <w:rPr>
        <w:rFonts w:ascii="Arial" w:eastAsia="Arial" w:hAnsi="Arial" w:cs="Arial"/>
        <w:color w:val="BFBFBF"/>
        <w:sz w:val="20"/>
        <w:szCs w:val="20"/>
      </w:rPr>
      <w:instrText>PAGE</w:instrText>
    </w:r>
    <w:r>
      <w:rPr>
        <w:rFonts w:ascii="Arial" w:eastAsia="Arial" w:hAnsi="Arial" w:cs="Arial"/>
        <w:color w:val="BFBFBF"/>
        <w:sz w:val="20"/>
        <w:szCs w:val="20"/>
      </w:rPr>
      <w:fldChar w:fldCharType="end"/>
    </w:r>
  </w:p>
  <w:p w14:paraId="13EE193C" w14:textId="77777777" w:rsidR="00033E5E" w:rsidRDefault="00033E5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rPr>
        <w:rFonts w:ascii="Arial" w:eastAsia="Arial" w:hAnsi="Arial" w:cs="Arial"/>
        <w:sz w:val="20"/>
        <w:szCs w:val="20"/>
      </w:rPr>
    </w:pPr>
    <w:r>
      <w:rPr>
        <w:rFonts w:ascii="Arial" w:eastAsia="Arial" w:hAnsi="Arial" w:cs="Arial"/>
        <w:color w:val="BFBFBF"/>
        <w:sz w:val="20"/>
        <w:szCs w:val="20"/>
      </w:rPr>
      <w:t>Model Version: v3.0</w:t>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sz w:val="20"/>
        <w:szCs w:val="20"/>
      </w:rPr>
      <w:tab/>
    </w:r>
    <w:r>
      <w:rPr>
        <w:rFonts w:ascii="Arial" w:eastAsia="Arial" w:hAnsi="Arial" w:cs="Arial"/>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10A831" w14:textId="77777777" w:rsidR="00181C0C" w:rsidRDefault="00181C0C">
      <w:pPr>
        <w:spacing w:after="0" w:line="240" w:lineRule="auto"/>
      </w:pPr>
      <w:r>
        <w:separator/>
      </w:r>
    </w:p>
  </w:footnote>
  <w:footnote w:type="continuationSeparator" w:id="0">
    <w:p w14:paraId="06A9DF1D" w14:textId="77777777" w:rsidR="00181C0C" w:rsidRDefault="00181C0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34478E" w14:textId="77777777" w:rsidR="00033E5E" w:rsidRDefault="00033E5E">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20"/>
        <w:szCs w:val="20"/>
      </w:rPr>
    </w:pPr>
    <w:r>
      <w:rPr>
        <w:rFonts w:ascii="Arial" w:eastAsia="Arial" w:hAnsi="Arial" w:cs="Arial"/>
        <w:b/>
        <w:color w:val="000000"/>
        <w:sz w:val="20"/>
        <w:szCs w:val="20"/>
      </w:rPr>
      <w:t xml:space="preserve">Joint Schedule 1 (Definitions) </w:t>
    </w:r>
  </w:p>
  <w:p w14:paraId="3AA9E7A1" w14:textId="6FF60EA8" w:rsidR="00033E5E" w:rsidRDefault="002034B3">
    <w:pPr>
      <w:pBdr>
        <w:top w:val="nil"/>
        <w:left w:val="nil"/>
        <w:bottom w:val="nil"/>
        <w:right w:val="nil"/>
        <w:between w:val="nil"/>
      </w:pBdr>
      <w:tabs>
        <w:tab w:val="center" w:pos="4513"/>
        <w:tab w:val="right" w:pos="9026"/>
        <w:tab w:val="left" w:pos="3800"/>
      </w:tabs>
      <w:spacing w:after="0" w:line="240" w:lineRule="auto"/>
      <w:rPr>
        <w:rFonts w:ascii="Arial" w:eastAsia="Arial" w:hAnsi="Arial" w:cs="Arial"/>
        <w:color w:val="BFBFBF"/>
        <w:sz w:val="20"/>
        <w:szCs w:val="20"/>
      </w:rPr>
    </w:pPr>
    <w:r>
      <w:rPr>
        <w:rFonts w:ascii="Arial" w:eastAsia="Arial" w:hAnsi="Arial" w:cs="Arial"/>
        <w:color w:val="000000"/>
        <w:sz w:val="20"/>
        <w:szCs w:val="20"/>
      </w:rPr>
      <w:t>Crown Copyright 2023</w:t>
    </w:r>
    <w:r w:rsidR="00033E5E">
      <w:rPr>
        <w:rFonts w:ascii="Arial" w:eastAsia="Arial" w:hAnsi="Arial" w:cs="Arial"/>
        <w:color w:val="BFBFBF"/>
        <w:sz w:val="20"/>
        <w:szCs w:val="20"/>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F4A501" w14:textId="77777777" w:rsidR="00033E5E" w:rsidRDefault="00033E5E">
    <w:pPr>
      <w:pBdr>
        <w:top w:val="nil"/>
        <w:left w:val="nil"/>
        <w:bottom w:val="nil"/>
        <w:right w:val="nil"/>
        <w:between w:val="nil"/>
      </w:pBdr>
      <w:tabs>
        <w:tab w:val="center" w:pos="4513"/>
        <w:tab w:val="right" w:pos="9026"/>
      </w:tabs>
      <w:spacing w:after="0" w:line="240" w:lineRule="auto"/>
      <w:rPr>
        <w:rFonts w:ascii="Arial" w:eastAsia="Arial" w:hAnsi="Arial" w:cs="Arial"/>
        <w:b/>
        <w:color w:val="BFBFBF"/>
        <w:sz w:val="20"/>
        <w:szCs w:val="20"/>
      </w:rPr>
    </w:pPr>
    <w:r>
      <w:rPr>
        <w:rFonts w:ascii="Arial" w:eastAsia="Arial" w:hAnsi="Arial" w:cs="Arial"/>
        <w:b/>
        <w:color w:val="BFBFBF"/>
        <w:sz w:val="20"/>
        <w:szCs w:val="20"/>
      </w:rPr>
      <w:t xml:space="preserve">Joint Schedule 1 (Definitions) </w:t>
    </w:r>
  </w:p>
  <w:p w14:paraId="016AFA46" w14:textId="77777777" w:rsidR="00033E5E" w:rsidRDefault="00033E5E">
    <w:pPr>
      <w:pBdr>
        <w:top w:val="nil"/>
        <w:left w:val="nil"/>
        <w:bottom w:val="nil"/>
        <w:right w:val="nil"/>
        <w:between w:val="nil"/>
      </w:pBdr>
      <w:tabs>
        <w:tab w:val="center" w:pos="4513"/>
        <w:tab w:val="right" w:pos="9026"/>
      </w:tabs>
      <w:spacing w:after="0" w:line="240" w:lineRule="auto"/>
      <w:rPr>
        <w:color w:val="000000"/>
      </w:rPr>
    </w:pPr>
    <w:r>
      <w:rPr>
        <w:rFonts w:ascii="Arial" w:eastAsia="Arial" w:hAnsi="Arial" w:cs="Arial"/>
        <w:color w:val="BFBFBF"/>
        <w:sz w:val="20"/>
        <w:szCs w:val="20"/>
      </w:rPr>
      <w:t>Crown Copyright 2018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163A5B"/>
    <w:multiLevelType w:val="multilevel"/>
    <w:tmpl w:val="0B5E683C"/>
    <w:lvl w:ilvl="0">
      <w:start w:val="1"/>
      <w:numFmt w:val="decimal"/>
      <w:pStyle w:val="GPSL1CLAUSEHEADING"/>
      <w:lvlText w:val="%1"/>
      <w:lvlJc w:val="left"/>
      <w:pPr>
        <w:ind w:left="170" w:hanging="170"/>
      </w:pPr>
      <w:rPr>
        <w:rFonts w:ascii="Arial" w:eastAsia="Arial" w:hAnsi="Arial" w:cs="Arial"/>
        <w:sz w:val="22"/>
        <w:szCs w:val="22"/>
      </w:rPr>
    </w:lvl>
    <w:lvl w:ilvl="1">
      <w:start w:val="1"/>
      <w:numFmt w:val="lowerLetter"/>
      <w:pStyle w:val="GPSL2numberedclause"/>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pStyle w:val="GPSL3numberedclause"/>
      <w:lvlText w:val="%3)"/>
      <w:lvlJc w:val="left"/>
      <w:pPr>
        <w:ind w:left="1080" w:hanging="360"/>
      </w:pPr>
      <w:rPr>
        <w:rFonts w:ascii="Arial" w:eastAsia="Arial" w:hAnsi="Arial" w:cs="Arial"/>
        <w:sz w:val="24"/>
        <w:szCs w:val="24"/>
      </w:rPr>
    </w:lvl>
    <w:lvl w:ilvl="3">
      <w:start w:val="1"/>
      <w:numFmt w:val="decimal"/>
      <w:pStyle w:val="GPSL4numberedclause"/>
      <w:lvlText w:val="(%4)"/>
      <w:lvlJc w:val="left"/>
      <w:pPr>
        <w:ind w:left="1440" w:hanging="360"/>
      </w:pPr>
    </w:lvl>
    <w:lvl w:ilvl="4">
      <w:start w:val="1"/>
      <w:numFmt w:val="lowerLetter"/>
      <w:pStyle w:val="GPSL5numberedclause"/>
      <w:lvlText w:val="(%5)"/>
      <w:lvlJc w:val="left"/>
      <w:pPr>
        <w:ind w:left="1800" w:hanging="360"/>
      </w:pPr>
    </w:lvl>
    <w:lvl w:ilvl="5">
      <w:start w:val="1"/>
      <w:numFmt w:val="lowerRoman"/>
      <w:pStyle w:val="GPSL6numbered"/>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6687B67"/>
    <w:multiLevelType w:val="multilevel"/>
    <w:tmpl w:val="DB48D8F6"/>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14E371F1"/>
    <w:multiLevelType w:val="multilevel"/>
    <w:tmpl w:val="F2205AB8"/>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1BAC507C"/>
    <w:multiLevelType w:val="multilevel"/>
    <w:tmpl w:val="B60C7F42"/>
    <w:lvl w:ilvl="0">
      <w:start w:val="1"/>
      <w:numFmt w:val="decimal"/>
      <w:pStyle w:val="ORDERFORML1PraraNo"/>
      <w:lvlText w:val="%1"/>
      <w:lvlJc w:val="left"/>
      <w:pPr>
        <w:ind w:left="170" w:hanging="170"/>
      </w:pPr>
      <w:rPr>
        <w:rFonts w:ascii="Arial" w:eastAsia="Arial" w:hAnsi="Arial" w:cs="Arial"/>
        <w:sz w:val="22"/>
        <w:szCs w:val="22"/>
      </w:rPr>
    </w:lvl>
    <w:lvl w:ilvl="1">
      <w:start w:val="1"/>
      <w:numFmt w:val="lowerLetter"/>
      <w:pStyle w:val="ORDERFORML2Title"/>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CEC43E9"/>
    <w:multiLevelType w:val="multilevel"/>
    <w:tmpl w:val="0248FCCC"/>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1F6E029E"/>
    <w:multiLevelType w:val="multilevel"/>
    <w:tmpl w:val="1B481CF8"/>
    <w:lvl w:ilvl="0">
      <w:start w:val="1"/>
      <w:numFmt w:val="lowerLetter"/>
      <w:pStyle w:val="GPSDefinitionL4"/>
      <w:lvlText w:val="%1)"/>
      <w:lvlJc w:val="left"/>
      <w:pPr>
        <w:ind w:left="432" w:hanging="262"/>
      </w:pPr>
      <w:rPr>
        <w:sz w:val="22"/>
        <w:szCs w:val="22"/>
      </w:rPr>
    </w:lvl>
    <w:lvl w:ilvl="1">
      <w:start w:val="1"/>
      <w:numFmt w:val="lowerLetter"/>
      <w:lvlText w:val="%2)"/>
      <w:lvlJc w:val="left"/>
      <w:pPr>
        <w:ind w:left="890" w:hanging="360"/>
      </w:pPr>
      <w:rPr>
        <w:rFonts w:ascii="Calibri" w:eastAsia="Calibri" w:hAnsi="Calibri" w:cs="Calibri"/>
        <w:b w:val="0"/>
        <w:i w:val="0"/>
        <w:smallCaps w:val="0"/>
        <w:strike w:val="0"/>
        <w:color w:val="000000"/>
        <w:u w:val="none"/>
        <w:vertAlign w:val="baseline"/>
      </w:rPr>
    </w:lvl>
    <w:lvl w:ilvl="2">
      <w:start w:val="1"/>
      <w:numFmt w:val="lowerRoman"/>
      <w:lvlText w:val="%3)"/>
      <w:lvlJc w:val="left"/>
      <w:pPr>
        <w:ind w:left="1250" w:hanging="360"/>
      </w:pPr>
      <w:rPr>
        <w:rFonts w:ascii="Arial" w:eastAsia="Arial" w:hAnsi="Arial" w:cs="Arial"/>
        <w:sz w:val="22"/>
        <w:szCs w:val="22"/>
      </w:rPr>
    </w:lvl>
    <w:lvl w:ilvl="3">
      <w:start w:val="1"/>
      <w:numFmt w:val="decimal"/>
      <w:lvlText w:val="(%4)"/>
      <w:lvlJc w:val="left"/>
      <w:pPr>
        <w:ind w:left="1610" w:hanging="360"/>
      </w:pPr>
    </w:lvl>
    <w:lvl w:ilvl="4">
      <w:start w:val="1"/>
      <w:numFmt w:val="lowerLetter"/>
      <w:lvlText w:val="(%5)"/>
      <w:lvlJc w:val="left"/>
      <w:pPr>
        <w:ind w:left="1970" w:hanging="360"/>
      </w:pPr>
    </w:lvl>
    <w:lvl w:ilvl="5">
      <w:start w:val="1"/>
      <w:numFmt w:val="lowerRoman"/>
      <w:lvlText w:val="(%6)"/>
      <w:lvlJc w:val="left"/>
      <w:pPr>
        <w:ind w:left="2330" w:hanging="360"/>
      </w:pPr>
    </w:lvl>
    <w:lvl w:ilvl="6">
      <w:start w:val="1"/>
      <w:numFmt w:val="decimal"/>
      <w:lvlText w:val="%7."/>
      <w:lvlJc w:val="left"/>
      <w:pPr>
        <w:ind w:left="2690" w:hanging="360"/>
      </w:pPr>
    </w:lvl>
    <w:lvl w:ilvl="7">
      <w:start w:val="1"/>
      <w:numFmt w:val="lowerLetter"/>
      <w:lvlText w:val="%8."/>
      <w:lvlJc w:val="left"/>
      <w:pPr>
        <w:ind w:left="3050" w:hanging="360"/>
      </w:pPr>
    </w:lvl>
    <w:lvl w:ilvl="8">
      <w:start w:val="1"/>
      <w:numFmt w:val="lowerRoman"/>
      <w:lvlText w:val="%9."/>
      <w:lvlJc w:val="left"/>
      <w:pPr>
        <w:ind w:left="3410" w:hanging="360"/>
      </w:pPr>
    </w:lvl>
  </w:abstractNum>
  <w:abstractNum w:abstractNumId="6" w15:restartNumberingAfterBreak="0">
    <w:nsid w:val="2A676C18"/>
    <w:multiLevelType w:val="multilevel"/>
    <w:tmpl w:val="46081BFC"/>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2B010C4D"/>
    <w:multiLevelType w:val="multilevel"/>
    <w:tmpl w:val="4B8A4BAE"/>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2F0C12CA"/>
    <w:multiLevelType w:val="multilevel"/>
    <w:tmpl w:val="16DC6AAA"/>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346377A3"/>
    <w:multiLevelType w:val="multilevel"/>
    <w:tmpl w:val="080E59EA"/>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3F8222FA"/>
    <w:multiLevelType w:val="multilevel"/>
    <w:tmpl w:val="0AACAF3E"/>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487A2489"/>
    <w:multiLevelType w:val="multilevel"/>
    <w:tmpl w:val="C6867C06"/>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49EE6D29"/>
    <w:multiLevelType w:val="multilevel"/>
    <w:tmpl w:val="35F8CC66"/>
    <w:lvl w:ilvl="0">
      <w:start w:val="1"/>
      <w:numFmt w:val="lowerLetter"/>
      <w:pStyle w:val="GPSL2GuidanceNumbered"/>
      <w:lvlText w:val="%1)"/>
      <w:lvlJc w:val="left"/>
      <w:pPr>
        <w:ind w:left="890" w:hanging="360"/>
      </w:pPr>
    </w:lvl>
    <w:lvl w:ilvl="1">
      <w:start w:val="1"/>
      <w:numFmt w:val="lowerRoman"/>
      <w:lvlText w:val="%2)"/>
      <w:lvlJc w:val="left"/>
      <w:pPr>
        <w:ind w:left="1610" w:hanging="360"/>
      </w:pPr>
    </w:lvl>
    <w:lvl w:ilvl="2">
      <w:start w:val="1"/>
      <w:numFmt w:val="lowerRoman"/>
      <w:lvlText w:val="%3."/>
      <w:lvlJc w:val="right"/>
      <w:pPr>
        <w:ind w:left="2330" w:hanging="180"/>
      </w:pPr>
    </w:lvl>
    <w:lvl w:ilvl="3">
      <w:start w:val="1"/>
      <w:numFmt w:val="decimal"/>
      <w:lvlText w:val="%4."/>
      <w:lvlJc w:val="left"/>
      <w:pPr>
        <w:ind w:left="3050" w:hanging="360"/>
      </w:pPr>
    </w:lvl>
    <w:lvl w:ilvl="4">
      <w:start w:val="1"/>
      <w:numFmt w:val="lowerLetter"/>
      <w:lvlText w:val="%5."/>
      <w:lvlJc w:val="left"/>
      <w:pPr>
        <w:ind w:left="3770" w:hanging="360"/>
      </w:pPr>
    </w:lvl>
    <w:lvl w:ilvl="5">
      <w:start w:val="1"/>
      <w:numFmt w:val="lowerRoman"/>
      <w:lvlText w:val="%6."/>
      <w:lvlJc w:val="right"/>
      <w:pPr>
        <w:ind w:left="4490" w:hanging="180"/>
      </w:pPr>
    </w:lvl>
    <w:lvl w:ilvl="6">
      <w:start w:val="1"/>
      <w:numFmt w:val="decimal"/>
      <w:lvlText w:val="%7."/>
      <w:lvlJc w:val="left"/>
      <w:pPr>
        <w:ind w:left="5210" w:hanging="360"/>
      </w:pPr>
    </w:lvl>
    <w:lvl w:ilvl="7">
      <w:start w:val="1"/>
      <w:numFmt w:val="lowerLetter"/>
      <w:lvlText w:val="%8."/>
      <w:lvlJc w:val="left"/>
      <w:pPr>
        <w:ind w:left="5930" w:hanging="360"/>
      </w:pPr>
    </w:lvl>
    <w:lvl w:ilvl="8">
      <w:start w:val="1"/>
      <w:numFmt w:val="lowerRoman"/>
      <w:lvlText w:val="%9."/>
      <w:lvlJc w:val="right"/>
      <w:pPr>
        <w:ind w:left="6650" w:hanging="180"/>
      </w:pPr>
    </w:lvl>
  </w:abstractNum>
  <w:abstractNum w:abstractNumId="13" w15:restartNumberingAfterBreak="0">
    <w:nsid w:val="4F5B1789"/>
    <w:multiLevelType w:val="multilevel"/>
    <w:tmpl w:val="52064A4A"/>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56247C80"/>
    <w:multiLevelType w:val="multilevel"/>
    <w:tmpl w:val="087483BE"/>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57232DFC"/>
    <w:multiLevelType w:val="multilevel"/>
    <w:tmpl w:val="CE4A63C0"/>
    <w:lvl w:ilvl="0">
      <w:start w:val="1"/>
      <w:numFmt w:val="lowerLetter"/>
      <w:lvlText w:val="%1)"/>
      <w:lvlJc w:val="left"/>
      <w:pPr>
        <w:ind w:left="432" w:hanging="262"/>
      </w:pPr>
      <w:rPr>
        <w:sz w:val="22"/>
        <w:szCs w:val="22"/>
      </w:rPr>
    </w:lvl>
    <w:lvl w:ilvl="1">
      <w:start w:val="1"/>
      <w:numFmt w:val="lowerLetter"/>
      <w:lvlText w:val="%2)"/>
      <w:lvlJc w:val="left"/>
      <w:pPr>
        <w:ind w:left="890" w:hanging="360"/>
      </w:pPr>
      <w:rPr>
        <w:rFonts w:ascii="Calibri" w:eastAsia="Calibri" w:hAnsi="Calibri" w:cs="Calibri"/>
        <w:b w:val="0"/>
        <w:i w:val="0"/>
        <w:smallCaps w:val="0"/>
        <w:strike w:val="0"/>
        <w:color w:val="000000"/>
        <w:u w:val="none"/>
        <w:vertAlign w:val="baseline"/>
      </w:rPr>
    </w:lvl>
    <w:lvl w:ilvl="2">
      <w:start w:val="1"/>
      <w:numFmt w:val="lowerRoman"/>
      <w:lvlText w:val="%3)"/>
      <w:lvlJc w:val="left"/>
      <w:pPr>
        <w:ind w:left="1250" w:hanging="360"/>
      </w:pPr>
      <w:rPr>
        <w:rFonts w:ascii="Arial" w:eastAsia="Arial" w:hAnsi="Arial" w:cs="Arial"/>
        <w:sz w:val="22"/>
        <w:szCs w:val="22"/>
      </w:rPr>
    </w:lvl>
    <w:lvl w:ilvl="3">
      <w:start w:val="1"/>
      <w:numFmt w:val="decimal"/>
      <w:lvlText w:val="(%4)"/>
      <w:lvlJc w:val="left"/>
      <w:pPr>
        <w:ind w:left="1610" w:hanging="360"/>
      </w:pPr>
    </w:lvl>
    <w:lvl w:ilvl="4">
      <w:start w:val="1"/>
      <w:numFmt w:val="lowerLetter"/>
      <w:lvlText w:val="(%5)"/>
      <w:lvlJc w:val="left"/>
      <w:pPr>
        <w:ind w:left="1970" w:hanging="360"/>
      </w:pPr>
    </w:lvl>
    <w:lvl w:ilvl="5">
      <w:start w:val="1"/>
      <w:numFmt w:val="lowerRoman"/>
      <w:lvlText w:val="(%6)"/>
      <w:lvlJc w:val="left"/>
      <w:pPr>
        <w:ind w:left="2330" w:hanging="360"/>
      </w:pPr>
    </w:lvl>
    <w:lvl w:ilvl="6">
      <w:start w:val="1"/>
      <w:numFmt w:val="decimal"/>
      <w:lvlText w:val="%7."/>
      <w:lvlJc w:val="left"/>
      <w:pPr>
        <w:ind w:left="2690" w:hanging="360"/>
      </w:pPr>
    </w:lvl>
    <w:lvl w:ilvl="7">
      <w:start w:val="1"/>
      <w:numFmt w:val="lowerLetter"/>
      <w:lvlText w:val="%8."/>
      <w:lvlJc w:val="left"/>
      <w:pPr>
        <w:ind w:left="3050" w:hanging="360"/>
      </w:pPr>
    </w:lvl>
    <w:lvl w:ilvl="8">
      <w:start w:val="1"/>
      <w:numFmt w:val="lowerRoman"/>
      <w:lvlText w:val="%9."/>
      <w:lvlJc w:val="left"/>
      <w:pPr>
        <w:ind w:left="3410" w:hanging="360"/>
      </w:pPr>
    </w:lvl>
  </w:abstractNum>
  <w:abstractNum w:abstractNumId="16" w15:restartNumberingAfterBreak="0">
    <w:nsid w:val="57E94BB4"/>
    <w:multiLevelType w:val="multilevel"/>
    <w:tmpl w:val="0C1CFDFA"/>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596C4B05"/>
    <w:multiLevelType w:val="multilevel"/>
    <w:tmpl w:val="657E325A"/>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5D1B2538"/>
    <w:multiLevelType w:val="multilevel"/>
    <w:tmpl w:val="39FCC29E"/>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5E8F4E7E"/>
    <w:multiLevelType w:val="multilevel"/>
    <w:tmpl w:val="1802796C"/>
    <w:lvl w:ilvl="0">
      <w:start w:val="1"/>
      <w:numFmt w:val="decimal"/>
      <w:lvlText w:val="%1."/>
      <w:lvlJc w:val="left"/>
      <w:pPr>
        <w:ind w:left="644" w:hanging="358"/>
      </w:pPr>
      <w:rPr>
        <w:smallCaps w:val="0"/>
        <w:strike w:val="0"/>
        <w:color w:val="000000"/>
        <w:u w:val="none"/>
        <w:vertAlign w:val="baseline"/>
      </w:rPr>
    </w:lvl>
    <w:lvl w:ilvl="1">
      <w:start w:val="1"/>
      <w:numFmt w:val="decimal"/>
      <w:lvlText w:val="%1.%2"/>
      <w:lvlJc w:val="left"/>
      <w:pPr>
        <w:ind w:left="928" w:hanging="360"/>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720" w:hanging="720"/>
      </w:pPr>
      <w:rPr>
        <w:b w:val="0"/>
        <w:i w:val="0"/>
        <w:smallCaps w:val="0"/>
        <w:strike w:val="0"/>
        <w:color w:val="000000"/>
        <w:u w:val="none"/>
        <w:vertAlign w:val="baseline"/>
      </w:rPr>
    </w:lvl>
    <w:lvl w:ilvl="3">
      <w:start w:val="1"/>
      <w:numFmt w:val="lowerLetter"/>
      <w:lvlText w:val="(%4)"/>
      <w:lvlJc w:val="left"/>
      <w:pPr>
        <w:ind w:left="3272" w:hanging="720"/>
      </w:pPr>
      <w:rPr>
        <w:rFonts w:ascii="Arial" w:eastAsia="Arial" w:hAnsi="Arial" w:cs="Arial"/>
        <w:b w:val="0"/>
        <w:i w:val="0"/>
        <w:smallCaps w:val="0"/>
        <w:strike w:val="0"/>
        <w:color w:val="000000"/>
        <w:u w:val="none"/>
        <w:vertAlign w:val="baseline"/>
      </w:rPr>
    </w:lvl>
    <w:lvl w:ilvl="4">
      <w:start w:val="1"/>
      <w:numFmt w:val="lowerRoman"/>
      <w:lvlText w:val="(%5)"/>
      <w:lvlJc w:val="left"/>
      <w:pPr>
        <w:ind w:left="3349"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0" w15:restartNumberingAfterBreak="0">
    <w:nsid w:val="5E925BAC"/>
    <w:multiLevelType w:val="multilevel"/>
    <w:tmpl w:val="1D688392"/>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52E53FC"/>
    <w:multiLevelType w:val="multilevel"/>
    <w:tmpl w:val="6010AE14"/>
    <w:lvl w:ilvl="0">
      <w:start w:val="1"/>
      <w:numFmt w:val="lowerLetter"/>
      <w:lvlText w:val="%1)"/>
      <w:lvlJc w:val="left"/>
      <w:pPr>
        <w:ind w:left="170" w:hanging="170"/>
      </w:pPr>
      <w:rPr>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D27354F"/>
    <w:multiLevelType w:val="multilevel"/>
    <w:tmpl w:val="CC1CE8C6"/>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77605E72"/>
    <w:multiLevelType w:val="multilevel"/>
    <w:tmpl w:val="1852725E"/>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780B14E1"/>
    <w:multiLevelType w:val="multilevel"/>
    <w:tmpl w:val="59E2A648"/>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7B792F77"/>
    <w:multiLevelType w:val="multilevel"/>
    <w:tmpl w:val="4FCCA1C2"/>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7E7D54C6"/>
    <w:multiLevelType w:val="multilevel"/>
    <w:tmpl w:val="E0C8DA0C"/>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5"/>
  </w:num>
  <w:num w:numId="2">
    <w:abstractNumId w:val="20"/>
  </w:num>
  <w:num w:numId="3">
    <w:abstractNumId w:val="22"/>
  </w:num>
  <w:num w:numId="4">
    <w:abstractNumId w:val="12"/>
  </w:num>
  <w:num w:numId="5">
    <w:abstractNumId w:val="23"/>
  </w:num>
  <w:num w:numId="6">
    <w:abstractNumId w:val="0"/>
  </w:num>
  <w:num w:numId="7">
    <w:abstractNumId w:val="3"/>
  </w:num>
  <w:num w:numId="8">
    <w:abstractNumId w:val="9"/>
  </w:num>
  <w:num w:numId="9">
    <w:abstractNumId w:val="19"/>
  </w:num>
  <w:num w:numId="10">
    <w:abstractNumId w:val="21"/>
  </w:num>
  <w:num w:numId="11">
    <w:abstractNumId w:val="15"/>
  </w:num>
  <w:num w:numId="12">
    <w:abstractNumId w:val="2"/>
  </w:num>
  <w:num w:numId="13">
    <w:abstractNumId w:val="17"/>
  </w:num>
  <w:num w:numId="14">
    <w:abstractNumId w:val="1"/>
  </w:num>
  <w:num w:numId="15">
    <w:abstractNumId w:val="24"/>
  </w:num>
  <w:num w:numId="16">
    <w:abstractNumId w:val="11"/>
  </w:num>
  <w:num w:numId="17">
    <w:abstractNumId w:val="8"/>
  </w:num>
  <w:num w:numId="18">
    <w:abstractNumId w:val="7"/>
  </w:num>
  <w:num w:numId="19">
    <w:abstractNumId w:val="16"/>
  </w:num>
  <w:num w:numId="20">
    <w:abstractNumId w:val="26"/>
  </w:num>
  <w:num w:numId="21">
    <w:abstractNumId w:val="14"/>
  </w:num>
  <w:num w:numId="22">
    <w:abstractNumId w:val="10"/>
  </w:num>
  <w:num w:numId="23">
    <w:abstractNumId w:val="6"/>
  </w:num>
  <w:num w:numId="24">
    <w:abstractNumId w:val="25"/>
  </w:num>
  <w:num w:numId="25">
    <w:abstractNumId w:val="4"/>
  </w:num>
  <w:num w:numId="26">
    <w:abstractNumId w:val="18"/>
  </w:num>
  <w:num w:numId="2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166B9"/>
    <w:rsid w:val="00000762"/>
    <w:rsid w:val="00033E5E"/>
    <w:rsid w:val="0007677E"/>
    <w:rsid w:val="0015466E"/>
    <w:rsid w:val="00171C08"/>
    <w:rsid w:val="00181C0C"/>
    <w:rsid w:val="002034B3"/>
    <w:rsid w:val="00246275"/>
    <w:rsid w:val="003B2492"/>
    <w:rsid w:val="003B4FC5"/>
    <w:rsid w:val="003C56F1"/>
    <w:rsid w:val="00440D1E"/>
    <w:rsid w:val="00481D4C"/>
    <w:rsid w:val="005166B9"/>
    <w:rsid w:val="00533019"/>
    <w:rsid w:val="005C1004"/>
    <w:rsid w:val="005F4203"/>
    <w:rsid w:val="005F6668"/>
    <w:rsid w:val="006511BA"/>
    <w:rsid w:val="00756DFB"/>
    <w:rsid w:val="007B0DC4"/>
    <w:rsid w:val="00866A6D"/>
    <w:rsid w:val="00887890"/>
    <w:rsid w:val="008D2C10"/>
    <w:rsid w:val="00910F4A"/>
    <w:rsid w:val="00951D16"/>
    <w:rsid w:val="00A23894"/>
    <w:rsid w:val="00A47688"/>
    <w:rsid w:val="00A815B7"/>
    <w:rsid w:val="00AC0D8E"/>
    <w:rsid w:val="00AF523C"/>
    <w:rsid w:val="00B40E62"/>
    <w:rsid w:val="00BA7853"/>
    <w:rsid w:val="00C32DE0"/>
    <w:rsid w:val="00C3307E"/>
    <w:rsid w:val="00CA10C3"/>
    <w:rsid w:val="00D11517"/>
    <w:rsid w:val="00D72C2E"/>
    <w:rsid w:val="00DD06B0"/>
    <w:rsid w:val="00DF49FF"/>
    <w:rsid w:val="00E14062"/>
    <w:rsid w:val="00E34692"/>
    <w:rsid w:val="00F35DE1"/>
    <w:rsid w:val="00F576ED"/>
    <w:rsid w:val="00F96617"/>
    <w:rsid w:val="00FD469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657446"/>
  <w15:docId w15:val="{42E2340E-3014-4D1E-8D98-2A37A472C1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aliases w:val="Major,PARA2,KJL:1st Level,Heading Two,h2,(1.1,1.2,1.3 etc),Prophead 2,RFP Heading 2,Activity,l2,H2,h 3,Numbered - 2,Reset numbering,S Heading,S Heading 2,Project 2,RFS 2,Heading 2 Number,Heading 2a,T2,PARA21,PARA22,PARA23,T21,PARA24,T22,TSBTW"/>
    <w:basedOn w:val="Normal"/>
    <w:next w:val="Normal"/>
    <w:link w:val="Heading2Char"/>
    <w:uiPriority w:val="99"/>
    <w:qFormat/>
    <w:rsid w:val="004E36B0"/>
    <w:pPr>
      <w:widowControl w:val="0"/>
      <w:tabs>
        <w:tab w:val="num" w:pos="709"/>
      </w:tabs>
      <w:spacing w:after="220" w:line="240" w:lineRule="auto"/>
      <w:ind w:left="709" w:hanging="709"/>
      <w:jc w:val="both"/>
      <w:outlineLvl w:val="1"/>
    </w:pPr>
    <w:rPr>
      <w:rFonts w:ascii="Trebuchet MS" w:eastAsia="Times New Roman" w:hAnsi="Trebuchet MS" w:cs="Arial"/>
      <w:bCs/>
      <w:iCs/>
      <w:sz w:val="20"/>
      <w:szCs w:val="28"/>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paragraph" w:customStyle="1" w:styleId="BodyText1">
    <w:name w:val="Body Text 1"/>
    <w:basedOn w:val="BodyText"/>
    <w:pPr>
      <w:autoSpaceDN w:val="0"/>
      <w:spacing w:after="240" w:line="360" w:lineRule="auto"/>
      <w:ind w:left="851"/>
    </w:pPr>
    <w:rPr>
      <w:rFonts w:ascii="Arial" w:eastAsia="Times New Roman" w:hAnsi="Arial" w:cs="Times New Roman"/>
      <w:sz w:val="20"/>
      <w:szCs w:val="20"/>
    </w:rPr>
  </w:style>
  <w:style w:type="paragraph" w:styleId="BodyText">
    <w:name w:val="Body Text"/>
    <w:basedOn w:val="Normal"/>
    <w:link w:val="BodyTextChar"/>
    <w:uiPriority w:val="99"/>
    <w:unhideWhenUsed/>
    <w:pPr>
      <w:spacing w:after="120"/>
    </w:pPr>
  </w:style>
  <w:style w:type="character" w:customStyle="1" w:styleId="BodyTextChar">
    <w:name w:val="Body Text Char"/>
    <w:basedOn w:val="DefaultParagraphFont"/>
    <w:link w:val="BodyText"/>
    <w:uiPriority w:val="99"/>
  </w:style>
  <w:style w:type="paragraph" w:styleId="ListParagraph">
    <w:name w:val="List Paragraph"/>
    <w:basedOn w:val="Normal"/>
    <w:uiPriority w:val="34"/>
    <w:qFormat/>
    <w:pPr>
      <w:suppressAutoHyphens/>
      <w:autoSpaceDN w:val="0"/>
      <w:ind w:left="720"/>
      <w:textAlignment w:val="baseline"/>
    </w:pPr>
    <w:rPr>
      <w:rFonts w:cs="Times New Roman"/>
    </w:rPr>
  </w:style>
  <w:style w:type="character" w:styleId="Emphasis">
    <w:name w:val="Emphasis"/>
    <w:basedOn w:val="DefaultParagraphFont"/>
    <w:rPr>
      <w:i/>
      <w:iCs/>
    </w:rPr>
  </w:style>
  <w:style w:type="paragraph" w:customStyle="1" w:styleId="GPSDefinitionL2">
    <w:name w:val="GPS Definition L2"/>
    <w:basedOn w:val="Normal"/>
    <w:link w:val="GPSDefinitionL2Char"/>
    <w:qFormat/>
    <w:pPr>
      <w:tabs>
        <w:tab w:val="left" w:pos="-576"/>
      </w:tabs>
      <w:overflowPunct w:val="0"/>
      <w:autoSpaceDE w:val="0"/>
      <w:autoSpaceDN w:val="0"/>
      <w:spacing w:after="120" w:line="240" w:lineRule="auto"/>
      <w:ind w:hanging="545"/>
      <w:jc w:val="both"/>
      <w:textAlignment w:val="baseline"/>
    </w:pPr>
    <w:rPr>
      <w:rFonts w:ascii="Arial" w:eastAsia="Times New Roman" w:hAnsi="Arial" w:cs="Arial"/>
    </w:rPr>
  </w:style>
  <w:style w:type="paragraph" w:customStyle="1" w:styleId="GPsDefinition">
    <w:name w:val="GPs Definition"/>
    <w:basedOn w:val="Normal"/>
    <w:uiPriority w:val="99"/>
    <w:qFormat/>
    <w:pPr>
      <w:tabs>
        <w:tab w:val="left" w:pos="-179"/>
      </w:tabs>
      <w:overflowPunct w:val="0"/>
      <w:autoSpaceDE w:val="0"/>
      <w:autoSpaceDN w:val="0"/>
      <w:spacing w:after="120" w:line="240" w:lineRule="auto"/>
      <w:jc w:val="both"/>
      <w:textAlignment w:val="baseline"/>
    </w:pPr>
    <w:rPr>
      <w:rFonts w:ascii="Arial" w:eastAsia="Times New Roman" w:hAnsi="Arial" w:cs="Arial"/>
    </w:rPr>
  </w:style>
  <w:style w:type="paragraph" w:customStyle="1" w:styleId="GPSDefinitionL3">
    <w:name w:val="GPS Definition L3"/>
    <w:basedOn w:val="GPSDefinitionL2"/>
    <w:link w:val="GPSDefinitionL3Char"/>
    <w:qFormat/>
  </w:style>
  <w:style w:type="paragraph" w:customStyle="1" w:styleId="GPSDefinitionL4">
    <w:name w:val="GPS Definition L4"/>
    <w:basedOn w:val="GPSDefinitionL3"/>
    <w:qFormat/>
    <w:pPr>
      <w:numPr>
        <w:numId w:val="1"/>
      </w:numPr>
      <w:tabs>
        <w:tab w:val="clear" w:pos="-576"/>
        <w:tab w:val="left" w:pos="-2316"/>
        <w:tab w:val="left" w:pos="-2100"/>
      </w:tabs>
    </w:pPr>
  </w:style>
  <w:style w:type="numbering" w:customStyle="1" w:styleId="LFO12">
    <w:name w:val="LFO12"/>
    <w:basedOn w:val="NoList"/>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semiHidden/>
    <w:unhideWhenUsed/>
    <w:rPr>
      <w:b/>
      <w:bCs/>
    </w:rPr>
  </w:style>
  <w:style w:type="character" w:customStyle="1" w:styleId="CommentSubjectChar">
    <w:name w:val="Comment Subject Char"/>
    <w:basedOn w:val="CommentTextChar"/>
    <w:link w:val="CommentSubject"/>
    <w:semiHidden/>
    <w:rPr>
      <w:b/>
      <w:bCs/>
      <w:sz w:val="20"/>
      <w:szCs w:val="20"/>
    </w:rPr>
  </w:style>
  <w:style w:type="paragraph" w:styleId="Revision">
    <w:name w:val="Revision"/>
    <w:hidden/>
    <w:uiPriority w:val="99"/>
    <w:semiHidden/>
    <w:pPr>
      <w:spacing w:after="0" w:line="240" w:lineRule="auto"/>
    </w:p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GPSL2GuidanceNumbered">
    <w:name w:val="GPS L2 Guidance Numbered"/>
    <w:basedOn w:val="Normal"/>
    <w:link w:val="GPSL2GuidanceNumberedChar"/>
    <w:qFormat/>
    <w:pPr>
      <w:numPr>
        <w:numId w:val="4"/>
      </w:numPr>
      <w:tabs>
        <w:tab w:val="left" w:pos="1418"/>
      </w:tabs>
      <w:adjustRightInd w:val="0"/>
      <w:spacing w:before="120" w:after="120" w:line="240" w:lineRule="auto"/>
      <w:jc w:val="both"/>
    </w:pPr>
    <w:rPr>
      <w:rFonts w:ascii="Arial" w:eastAsia="Times New Roman" w:hAnsi="Arial" w:cs="Arial"/>
      <w:b/>
      <w:i/>
      <w:lang w:eastAsia="zh-CN"/>
    </w:rPr>
  </w:style>
  <w:style w:type="character" w:customStyle="1" w:styleId="GPSL2GuidanceNumberedChar">
    <w:name w:val="GPS L2 Guidance Numbered Char"/>
    <w:link w:val="GPSL2GuidanceNumbered"/>
    <w:rPr>
      <w:rFonts w:ascii="Arial" w:eastAsia="Times New Roman" w:hAnsi="Arial" w:cs="Arial"/>
      <w:b/>
      <w:i/>
      <w:lang w:eastAsia="zh-CN"/>
    </w:rPr>
  </w:style>
  <w:style w:type="paragraph" w:customStyle="1" w:styleId="GPSDefinitionTerm">
    <w:name w:val="GPS Definition Term"/>
    <w:basedOn w:val="Normal"/>
    <w:uiPriority w:val="99"/>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character" w:customStyle="1" w:styleId="GPSDefinitionL2Char">
    <w:name w:val="GPS Definition L2 Char"/>
    <w:link w:val="GPSDefinitionL2"/>
    <w:rPr>
      <w:rFonts w:ascii="Arial" w:eastAsia="Times New Roman" w:hAnsi="Arial" w:cs="Arial"/>
    </w:rPr>
  </w:style>
  <w:style w:type="character" w:customStyle="1" w:styleId="GPSDefinitionL3Char">
    <w:name w:val="GPS Definition L3 Char"/>
    <w:link w:val="GPSDefinitionL3"/>
    <w:rPr>
      <w:rFonts w:ascii="Arial" w:eastAsia="Times New Roman" w:hAnsi="Arial" w:cs="Arial"/>
    </w:rPr>
  </w:style>
  <w:style w:type="character" w:customStyle="1" w:styleId="Heading6Char19">
    <w:name w:val="Heading 6 Char19"/>
    <w:aliases w:val="Heading 6 (Do Not Use) Char19,Heading 6(unused) Char19,Legal Level 1. Char19,L1 PIP Char19,Heading 6  Appendix Y &amp; Z Char19,Lev 6 Char19,H6 DO NOT USE Char19,Bullet list Char19,PA Appendix Char19,H6 Char19,H61 Char19,PR14 Char19"/>
    <w:uiPriority w:val="99"/>
    <w:semiHidden/>
    <w:locked/>
    <w:rPr>
      <w:rFonts w:ascii="Calibri" w:hAnsi="Calibri"/>
      <w:b/>
      <w:lang w:val="en-GB" w:eastAsia="en-GB"/>
    </w:rPr>
  </w:style>
  <w:style w:type="paragraph" w:customStyle="1" w:styleId="GPSL1CLAUSEHEADING">
    <w:name w:val="GPS L1 CLAUSE HEADING"/>
    <w:basedOn w:val="Normal"/>
    <w:next w:val="Normal"/>
    <w:qFormat/>
    <w:pPr>
      <w:numPr>
        <w:numId w:val="6"/>
      </w:numPr>
      <w:tabs>
        <w:tab w:val="left" w:pos="0"/>
      </w:tabs>
      <w:adjustRightInd w:val="0"/>
      <w:spacing w:before="240" w:after="240" w:line="240" w:lineRule="auto"/>
      <w:jc w:val="both"/>
      <w:outlineLvl w:val="1"/>
    </w:pPr>
    <w:rPr>
      <w:rFonts w:ascii="Arial Bold" w:eastAsia="STZhongsong" w:hAnsi="Arial Bold" w:cs="Arial"/>
      <w:b/>
      <w:caps/>
      <w:lang w:eastAsia="zh-CN"/>
    </w:rPr>
  </w:style>
  <w:style w:type="paragraph" w:customStyle="1" w:styleId="GPSL2numberedclause">
    <w:name w:val="GPS L2 numbered clause"/>
    <w:basedOn w:val="Normal"/>
    <w:link w:val="GPSL2numberedclauseChar1"/>
    <w:qFormat/>
    <w:pPr>
      <w:numPr>
        <w:ilvl w:val="1"/>
        <w:numId w:val="6"/>
      </w:numPr>
      <w:tabs>
        <w:tab w:val="left" w:pos="1134"/>
      </w:tabs>
      <w:adjustRightInd w:val="0"/>
      <w:spacing w:before="120" w:after="120" w:line="240" w:lineRule="auto"/>
      <w:jc w:val="both"/>
    </w:pPr>
    <w:rPr>
      <w:rFonts w:eastAsia="Times New Roman" w:cs="Arial"/>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pPr>
  </w:style>
  <w:style w:type="paragraph" w:customStyle="1" w:styleId="GPSL4numberedclause">
    <w:name w:val="GPS L4 numbered clause"/>
    <w:basedOn w:val="GPSL3numberedclause"/>
    <w:link w:val="GPSL4numberedclauseChar"/>
    <w:qFormat/>
    <w:pPr>
      <w:numPr>
        <w:ilvl w:val="3"/>
      </w:numPr>
      <w:tabs>
        <w:tab w:val="clear" w:pos="2127"/>
      </w:tabs>
    </w:pPr>
    <w:rPr>
      <w:szCs w:val="20"/>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link w:val="GPSL5numberedclauseChar"/>
    <w:qFormat/>
    <w:pPr>
      <w:numPr>
        <w:ilvl w:val="4"/>
      </w:numPr>
      <w:tabs>
        <w:tab w:val="left" w:pos="3402"/>
      </w:tabs>
    </w:pPr>
  </w:style>
  <w:style w:type="paragraph" w:customStyle="1" w:styleId="GPSL6numbered">
    <w:name w:val="GPS L6 numbered"/>
    <w:basedOn w:val="GPSL5numberedclause"/>
    <w:qFormat/>
    <w:pPr>
      <w:numPr>
        <w:ilvl w:val="5"/>
      </w:numPr>
      <w:tabs>
        <w:tab w:val="left" w:pos="4253"/>
      </w:tabs>
      <w:ind w:left="4253" w:hanging="709"/>
    </w:pPr>
  </w:style>
  <w:style w:type="character" w:customStyle="1" w:styleId="GPSL3numberedclauseChar">
    <w:name w:val="GPS L3 numbered clause Char"/>
    <w:link w:val="GPSL3numberedclause"/>
    <w:rPr>
      <w:rFonts w:ascii="Calibri" w:eastAsia="Times New Roman" w:hAnsi="Calibri" w:cs="Arial"/>
      <w:lang w:eastAsia="zh-CN"/>
    </w:rPr>
  </w:style>
  <w:style w:type="paragraph" w:customStyle="1" w:styleId="ORDERFORML1PraraNo">
    <w:name w:val="ORDER FORM L1 Prara No"/>
    <w:basedOn w:val="Normal"/>
    <w:qFormat/>
    <w:pPr>
      <w:numPr>
        <w:numId w:val="7"/>
      </w:numPr>
      <w:adjustRightInd w:val="0"/>
      <w:spacing w:after="0" w:line="240" w:lineRule="auto"/>
      <w:ind w:left="426" w:hanging="426"/>
      <w:jc w:val="both"/>
    </w:pPr>
    <w:rPr>
      <w:rFonts w:eastAsia="STZhongsong" w:cs="Times New Roman"/>
      <w:b/>
      <w:caps/>
      <w:lang w:eastAsia="zh-CN"/>
    </w:rPr>
  </w:style>
  <w:style w:type="paragraph" w:customStyle="1" w:styleId="ORDERFORML2Title">
    <w:name w:val="ORDER FORM L2 Title"/>
    <w:basedOn w:val="Normal"/>
    <w:qFormat/>
    <w:pPr>
      <w:numPr>
        <w:ilvl w:val="1"/>
        <w:numId w:val="7"/>
      </w:numPr>
      <w:adjustRightInd w:val="0"/>
      <w:spacing w:after="120" w:line="240" w:lineRule="auto"/>
      <w:ind w:left="993" w:hanging="567"/>
      <w:jc w:val="both"/>
    </w:pPr>
    <w:rPr>
      <w:rFonts w:ascii="Arial" w:eastAsia="STZhongsong" w:hAnsi="Arial" w:cs="Times New Roman"/>
      <w:b/>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5numberedclauseChar">
    <w:name w:val="GPS L5 numbered clause Char"/>
    <w:link w:val="GPSL5numberedclause"/>
    <w:rPr>
      <w:rFonts w:ascii="Calibri" w:eastAsia="Times New Roman" w:hAnsi="Calibri" w:cs="Arial"/>
      <w:szCs w:val="20"/>
      <w:lang w:eastAsia="zh-CN"/>
    </w:rPr>
  </w:style>
  <w:style w:type="paragraph" w:styleId="BodyTextIndent">
    <w:name w:val="Body Text Indent"/>
    <w:basedOn w:val="Normal"/>
    <w:link w:val="BodyTextIndentChar"/>
    <w:pPr>
      <w:adjustRightInd w:val="0"/>
      <w:spacing w:after="240" w:line="240" w:lineRule="auto"/>
      <w:ind w:left="170" w:hanging="170"/>
      <w:jc w:val="both"/>
    </w:pPr>
    <w:rPr>
      <w:rFonts w:eastAsia="Times New Roman" w:cs="Times New Roman"/>
      <w:lang w:eastAsia="zh-CN"/>
    </w:rPr>
  </w:style>
  <w:style w:type="character" w:customStyle="1" w:styleId="BodyTextIndentChar">
    <w:name w:val="Body Text Indent Char"/>
    <w:basedOn w:val="DefaultParagraphFont"/>
    <w:link w:val="BodyTextIndent"/>
    <w:rPr>
      <w:rFonts w:ascii="Calibri" w:eastAsia="Times New Roman" w:hAnsi="Calibri" w:cs="Times New Roman"/>
      <w:lang w:eastAsia="zh-CN"/>
    </w:rPr>
  </w:style>
  <w:style w:type="character" w:styleId="Hyperlink">
    <w:name w:val="Hyperlink"/>
    <w:basedOn w:val="DefaultParagraphFont"/>
    <w:uiPriority w:val="99"/>
    <w:unhideWhenUsed/>
    <w:rPr>
      <w:color w:val="0000FF" w:themeColor="hyperlink"/>
      <w:u w:val="single"/>
    </w:rPr>
  </w:style>
  <w:style w:type="table" w:styleId="TableGrid">
    <w:name w:val="Table Grid"/>
    <w:basedOn w:val="TableNormal"/>
    <w:uiPriority w:val="59"/>
    <w:pPr>
      <w:spacing w:after="0" w:line="240" w:lineRule="auto"/>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5">
    <w:name w:val="LFO5"/>
    <w:basedOn w:val="NoList"/>
  </w:style>
  <w:style w:type="paragraph" w:customStyle="1" w:styleId="Guidancenoteparagraphtext">
    <w:name w:val="Guidance note paragraph text"/>
    <w:basedOn w:val="Normal"/>
    <w:link w:val="GuidancenoteparagraphtextChar"/>
    <w:qFormat/>
    <w:pPr>
      <w:spacing w:after="240" w:line="240" w:lineRule="auto"/>
      <w:ind w:left="709"/>
      <w:jc w:val="both"/>
    </w:pPr>
    <w:rPr>
      <w:rFonts w:ascii="Arial" w:eastAsia="STZhongsong" w:hAnsi="Arial" w:cs="Times New Roman"/>
      <w:b/>
      <w:i/>
      <w:color w:val="000000"/>
      <w:sz w:val="20"/>
      <w:szCs w:val="24"/>
      <w:lang w:eastAsia="zh-CN"/>
    </w:rPr>
  </w:style>
  <w:style w:type="character" w:customStyle="1" w:styleId="GuidancenoteparagraphtextChar">
    <w:name w:val="Guidance note paragraph text Char"/>
    <w:link w:val="Guidancenoteparagraphtext"/>
    <w:rPr>
      <w:rFonts w:ascii="Arial" w:eastAsia="STZhongsong" w:hAnsi="Arial" w:cs="Times New Roman"/>
      <w:b/>
      <w:i/>
      <w:color w:val="000000"/>
      <w:sz w:val="20"/>
      <w:szCs w:val="24"/>
      <w:lang w:eastAsia="zh-CN"/>
    </w:rPr>
  </w:style>
  <w:style w:type="paragraph" w:customStyle="1" w:styleId="GPSL2Numbered">
    <w:name w:val="GPS L2 Numbered"/>
    <w:basedOn w:val="Normal"/>
    <w:pPr>
      <w:tabs>
        <w:tab w:val="left" w:pos="709"/>
        <w:tab w:val="left" w:pos="1134"/>
      </w:tabs>
      <w:autoSpaceDN w:val="0"/>
      <w:spacing w:before="120" w:after="120" w:line="240" w:lineRule="auto"/>
      <w:ind w:left="1494" w:hanging="360"/>
      <w:jc w:val="both"/>
    </w:pPr>
    <w:rPr>
      <w:rFonts w:eastAsia="Times New Roman" w:cs="Arial"/>
      <w:lang w:eastAsia="zh-CN"/>
    </w:rPr>
  </w:style>
  <w:style w:type="paragraph" w:customStyle="1" w:styleId="tabletxt">
    <w:name w:val="tabletxt"/>
    <w:basedOn w:val="Normal"/>
    <w:pPr>
      <w:autoSpaceDE w:val="0"/>
      <w:autoSpaceDN w:val="0"/>
      <w:adjustRightInd w:val="0"/>
      <w:spacing w:before="20" w:after="20" w:line="240" w:lineRule="auto"/>
      <w:jc w:val="both"/>
    </w:pPr>
    <w:rPr>
      <w:rFonts w:ascii="Times New Roman" w:eastAsia="Times New Roman" w:hAnsi="Times New Roman" w:cs="Arial"/>
      <w:sz w:val="20"/>
      <w:szCs w:val="20"/>
      <w:lang w:val="en-US"/>
    </w:rPr>
  </w:style>
  <w:style w:type="paragraph" w:customStyle="1" w:styleId="Tabletext">
    <w:name w:val="Tabletext"/>
    <w:basedOn w:val="Normal"/>
    <w:pPr>
      <w:keepLines/>
      <w:widowControl w:val="0"/>
      <w:spacing w:after="0" w:line="240" w:lineRule="atLeast"/>
    </w:pPr>
    <w:rPr>
      <w:rFonts w:ascii="Arial" w:eastAsia="Times New Roman" w:hAnsi="Arial" w:cs="Times New Roman"/>
      <w:sz w:val="20"/>
      <w:szCs w:val="20"/>
      <w:lang w:val="en-US"/>
    </w:rPr>
  </w:style>
  <w:style w:type="character" w:customStyle="1" w:styleId="Heading2Char">
    <w:name w:val="Heading 2 Char"/>
    <w:aliases w:val="Major Char,PARA2 Char,KJL:1st Level Char,Heading Two Char,h2 Char,(1.1 Char,1.2 Char,1.3 etc) Char,Prophead 2 Char,RFP Heading 2 Char,Activity Char,l2 Char,H2 Char,h 3 Char,Numbered - 2 Char,Reset numbering Char,S Heading Char,RFS 2 Char"/>
    <w:basedOn w:val="DefaultParagraphFont"/>
    <w:link w:val="Heading2"/>
    <w:uiPriority w:val="99"/>
    <w:rsid w:val="004E36B0"/>
    <w:rPr>
      <w:rFonts w:ascii="Trebuchet MS" w:eastAsia="Times New Roman" w:hAnsi="Trebuchet MS" w:cs="Arial"/>
      <w:bCs/>
      <w:iCs/>
      <w:sz w:val="20"/>
      <w:szCs w:val="28"/>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rPr>
      <w:sz w:val="20"/>
      <w:szCs w:val="20"/>
    </w:rPr>
    <w:tblPr>
      <w:tblStyleRowBandSize w:val="1"/>
      <w:tblStyleColBandSize w:val="1"/>
    </w:tblPr>
  </w:style>
  <w:style w:type="table" w:customStyle="1" w:styleId="a0">
    <w:basedOn w:val="TableNormal"/>
    <w:tblPr>
      <w:tblStyleRowBandSize w:val="1"/>
      <w:tblStyleColBandSize w:val="1"/>
      <w:tblCellMar>
        <w:left w:w="0" w:type="dxa"/>
        <w:right w:w="0" w:type="dxa"/>
      </w:tblCellMar>
    </w:tblPr>
  </w:style>
  <w:style w:type="table" w:customStyle="1" w:styleId="a1">
    <w:basedOn w:val="TableNormal"/>
    <w:pPr>
      <w:spacing w:after="0" w:line="240" w:lineRule="auto"/>
    </w:pPr>
    <w:rPr>
      <w:sz w:val="20"/>
      <w:szCs w:val="20"/>
    </w:rPr>
    <w:tblPr>
      <w:tblStyleRowBandSize w:val="1"/>
      <w:tblStyleColBandSize w:val="1"/>
    </w:tblPr>
  </w:style>
  <w:style w:type="table" w:customStyle="1" w:styleId="a2">
    <w:basedOn w:val="TableNormal"/>
    <w:pPr>
      <w:spacing w:after="0" w:line="240" w:lineRule="auto"/>
    </w:pPr>
    <w:rPr>
      <w:sz w:val="20"/>
      <w:szCs w:val="20"/>
    </w:rPr>
    <w:tblPr>
      <w:tblStyleRowBandSize w:val="1"/>
      <w:tblStyleColBandSize w:val="1"/>
      <w:tblCellMar>
        <w:left w:w="0" w:type="dxa"/>
        <w:right w:w="0" w:type="dxa"/>
      </w:tblCellMar>
    </w:tblPr>
  </w:style>
  <w:style w:type="table" w:customStyle="1" w:styleId="a3">
    <w:basedOn w:val="TableNormal"/>
    <w:pPr>
      <w:spacing w:after="0" w:line="240" w:lineRule="auto"/>
    </w:pPr>
    <w:rPr>
      <w:sz w:val="20"/>
      <w:szCs w:val="20"/>
    </w:rPr>
    <w:tblPr>
      <w:tblStyleRowBandSize w:val="1"/>
      <w:tblStyleColBandSize w:val="1"/>
      <w:tblCellMar>
        <w:left w:w="0" w:type="dxa"/>
        <w:right w:w="0" w:type="dxa"/>
      </w:tblCellMar>
    </w:tblPr>
  </w:style>
  <w:style w:type="table" w:customStyle="1" w:styleId="a4">
    <w:basedOn w:val="TableNormal"/>
    <w:pPr>
      <w:spacing w:after="0" w:line="240" w:lineRule="auto"/>
    </w:pPr>
    <w:rPr>
      <w:sz w:val="20"/>
      <w:szCs w:val="20"/>
    </w:rPr>
    <w:tblPr>
      <w:tblStyleRowBandSize w:val="1"/>
      <w:tblStyleColBandSize w:val="1"/>
      <w:tblCellMar>
        <w:left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yperlink" Target="https://www.gov.uk/guidance/ir35-find-out-if-it-applies"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gov.uk/government/publications/blowing-the-whistle-list-of-prescribed-people-and-bodies--2/whistleblowing-list-of-prescribed-people-and-bodies"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s://www.gov.uk/government/publications/open-standards-principles/open-standards-principles" TargetMode="External"/><Relationship Id="rId4" Type="http://schemas.openxmlformats.org/officeDocument/2006/relationships/settings" Target="settings.xml"/><Relationship Id="rId9" Type="http://schemas.openxmlformats.org/officeDocument/2006/relationships/hyperlink" Target="http://www.nationalarchives.gov.uk/doc/open-government-licence/version/3/" TargetMode="Externa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R56bOHbcYbMp2bdgajtRl459dNA==">AMUW2mWxDcjuIFh9pWg0yDLAfrLDa35Pe8v/+GPATR0C9BETssgvgI4I/5jkUf+FpJKDW+c+a7tDqbXgQ73aw03VrnEg3on4N3di/oBhOqEmuoaaEuHcDU65oFRyhVD2IEm1FN4H+o3g8BG4sShxFyVa3TFvEL9wm84mtwsU547q6/CrdkM8Dnm+7DLUIRY+UfnoccjBPZpw</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28</Pages>
  <Words>10514</Words>
  <Characters>59933</Characters>
  <Application>Microsoft Office Word</Application>
  <DocSecurity>0</DocSecurity>
  <Lines>499</Lines>
  <Paragraphs>140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70307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Hannah Wright</dc:creator>
  <cp:lastModifiedBy>steve hopkins</cp:lastModifiedBy>
  <cp:revision>4</cp:revision>
  <dcterms:created xsi:type="dcterms:W3CDTF">2024-07-12T09:18:00Z</dcterms:created>
  <dcterms:modified xsi:type="dcterms:W3CDTF">2024-07-12T11:13:00Z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D1V9</vt:lpwstr>
  </property>
</Properties>
</file>